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560" w:lineRule="exact"/>
        <w:jc w:val="both"/>
        <w:rPr>
          <w:rFonts w:ascii="方正小标宋简体" w:hAnsi="Times New Roman" w:eastAsia="黑体"/>
          <w:snapToGrid w:val="0"/>
          <w:color w:val="000000"/>
          <w:kern w:val="2"/>
          <w:sz w:val="44"/>
          <w:szCs w:val="44"/>
        </w:rPr>
      </w:pPr>
      <w:r>
        <w:rPr>
          <w:rFonts w:hint="eastAsia" w:ascii="黑体" w:hAnsi="黑体" w:eastAsia="黑体"/>
          <w:snapToGrid w:val="0"/>
          <w:color w:val="000000"/>
          <w:kern w:val="2"/>
          <w:sz w:val="32"/>
          <w:szCs w:val="24"/>
        </w:rPr>
        <w:t>附件2</w:t>
      </w:r>
    </w:p>
    <w:p>
      <w:pPr>
        <w:widowControl w:val="0"/>
        <w:adjustRightInd/>
        <w:snapToGrid/>
        <w:spacing w:after="0" w:line="560" w:lineRule="exact"/>
        <w:jc w:val="center"/>
        <w:rPr>
          <w:rFonts w:ascii="方正小标宋简体" w:hAnsi="Times New Roman" w:eastAsia="方正小标宋简体"/>
          <w:snapToGrid w:val="0"/>
          <w:color w:val="000000"/>
          <w:kern w:val="2"/>
          <w:sz w:val="44"/>
          <w:szCs w:val="44"/>
        </w:rPr>
      </w:pPr>
      <w:r>
        <w:rPr>
          <w:rFonts w:hint="eastAsia" w:ascii="方正小标宋简体" w:hAnsi="Times New Roman" w:eastAsia="方正小标宋简体"/>
          <w:snapToGrid w:val="0"/>
          <w:color w:val="000000"/>
          <w:kern w:val="2"/>
          <w:sz w:val="44"/>
          <w:szCs w:val="44"/>
        </w:rPr>
        <w:t>2020年新设本科专业评估数据表</w:t>
      </w:r>
    </w:p>
    <w:p>
      <w:pPr>
        <w:widowControl w:val="0"/>
        <w:adjustRightInd/>
        <w:snapToGrid/>
        <w:spacing w:after="0" w:line="560" w:lineRule="exact"/>
        <w:jc w:val="center"/>
        <w:rPr>
          <w:rFonts w:ascii="方正小标宋简体" w:hAnsi="Times New Roman" w:eastAsia="方正小标宋简体"/>
          <w:snapToGrid w:val="0"/>
          <w:color w:val="000000"/>
          <w:kern w:val="2"/>
          <w:sz w:val="44"/>
          <w:szCs w:val="44"/>
        </w:rPr>
      </w:pPr>
    </w:p>
    <w:p>
      <w:pPr>
        <w:widowControl w:val="0"/>
        <w:adjustRightInd/>
        <w:snapToGrid/>
        <w:spacing w:after="0" w:line="300" w:lineRule="exact"/>
        <w:rPr>
          <w:rFonts w:ascii="宋体" w:hAnsi="宋体"/>
          <w:snapToGrid w:val="0"/>
          <w:color w:val="000000"/>
          <w:kern w:val="2"/>
          <w:sz w:val="21"/>
          <w:szCs w:val="21"/>
        </w:rPr>
      </w:pP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1. 专业基本信息表</w:t>
      </w:r>
    </w:p>
    <w:tbl>
      <w:tblPr>
        <w:tblStyle w:val="6"/>
        <w:tblW w:w="145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21"/>
        <w:gridCol w:w="1648"/>
        <w:gridCol w:w="1972"/>
        <w:gridCol w:w="3639"/>
        <w:gridCol w:w="2822"/>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1" w:hRule="atLeast"/>
        </w:trPr>
        <w:tc>
          <w:tcPr>
            <w:tcW w:w="202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专业名称</w:t>
            </w:r>
          </w:p>
        </w:tc>
        <w:tc>
          <w:tcPr>
            <w:tcW w:w="164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学位门类</w:t>
            </w:r>
          </w:p>
        </w:tc>
        <w:tc>
          <w:tcPr>
            <w:tcW w:w="197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所在院系</w:t>
            </w:r>
          </w:p>
        </w:tc>
        <w:tc>
          <w:tcPr>
            <w:tcW w:w="363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同院系其他专业</w:t>
            </w:r>
          </w:p>
        </w:tc>
        <w:tc>
          <w:tcPr>
            <w:tcW w:w="28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专业教师人数</w:t>
            </w:r>
          </w:p>
        </w:tc>
        <w:tc>
          <w:tcPr>
            <w:tcW w:w="241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在校生人数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2021"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财务管理</w:t>
            </w:r>
          </w:p>
        </w:tc>
        <w:tc>
          <w:tcPr>
            <w:tcW w:w="1648"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管理学</w:t>
            </w:r>
          </w:p>
        </w:tc>
        <w:tc>
          <w:tcPr>
            <w:tcW w:w="1972"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经济管理系</w:t>
            </w:r>
          </w:p>
        </w:tc>
        <w:tc>
          <w:tcPr>
            <w:tcW w:w="3639"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国际经济与贸易</w:t>
            </w:r>
            <w:r>
              <w:rPr>
                <w:rFonts w:ascii="Times New Roman" w:hAnsi="Times New Roman" w:eastAsia="仿宋"/>
                <w:snapToGrid w:val="0"/>
                <w:color w:val="000000" w:themeColor="text1"/>
                <w:kern w:val="2"/>
                <w:sz w:val="24"/>
                <w:szCs w:val="24"/>
                <w14:textFill>
                  <w14:solidFill>
                    <w14:schemeClr w14:val="tx1"/>
                  </w14:solidFill>
                </w14:textFill>
              </w:rPr>
              <w:t>、市场营销、金融工程、文化产业管理</w:t>
            </w:r>
          </w:p>
        </w:tc>
        <w:tc>
          <w:tcPr>
            <w:tcW w:w="2822"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2</w:t>
            </w:r>
            <w:r>
              <w:rPr>
                <w:rFonts w:ascii="Times New Roman" w:hAnsi="Times New Roman" w:eastAsia="仿宋"/>
                <w:snapToGrid w:val="0"/>
                <w:color w:val="000000" w:themeColor="text1"/>
                <w:kern w:val="2"/>
                <w:sz w:val="24"/>
                <w:szCs w:val="24"/>
                <w14:textFill>
                  <w14:solidFill>
                    <w14:schemeClr w14:val="tx1"/>
                  </w14:solidFill>
                </w14:textFill>
              </w:rPr>
              <w:t>3</w:t>
            </w:r>
          </w:p>
        </w:tc>
        <w:tc>
          <w:tcPr>
            <w:tcW w:w="2415"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520</w:t>
            </w:r>
          </w:p>
        </w:tc>
      </w:tr>
    </w:tbl>
    <w:p>
      <w:pPr>
        <w:widowControl w:val="0"/>
        <w:adjustRightInd/>
        <w:snapToGrid/>
        <w:spacing w:after="0" w:line="300" w:lineRule="exact"/>
        <w:ind w:left="480" w:hanging="480" w:hangingChars="200"/>
        <w:rPr>
          <w:rFonts w:ascii="Times New Roman" w:hAnsi="Times New Roman" w:eastAsia="仿宋"/>
          <w:snapToGrid w:val="0"/>
          <w:color w:val="000000" w:themeColor="text1"/>
          <w:kern w:val="2"/>
          <w:sz w:val="24"/>
          <w:szCs w:val="24"/>
          <w14:textFill>
            <w14:solidFill>
              <w14:schemeClr w14:val="tx1"/>
            </w14:solidFill>
          </w14:textFill>
        </w:rPr>
      </w:pPr>
      <w:r>
        <w:rPr>
          <w:rFonts w:ascii="Times New Roman" w:hAnsi="Times New Roman" w:eastAsia="仿宋"/>
          <w:snapToGrid w:val="0"/>
          <w:color w:val="000000" w:themeColor="text1"/>
          <w:kern w:val="2"/>
          <w:sz w:val="24"/>
          <w:szCs w:val="24"/>
          <w14:textFill>
            <w14:solidFill>
              <w14:schemeClr w14:val="tx1"/>
            </w14:solidFill>
          </w14:textFill>
        </w:rPr>
        <w:t>注：本表所填专业教师人数是指目前从事专业课（含专业基础课）教学工作的专任教师人数，不包括兼职教师</w:t>
      </w:r>
      <w:r>
        <w:rPr>
          <w:rFonts w:hint="eastAsia" w:ascii="Times New Roman" w:hAnsi="Times New Roman" w:eastAsia="仿宋"/>
          <w:snapToGrid w:val="0"/>
          <w:color w:val="000000" w:themeColor="text1"/>
          <w:kern w:val="2"/>
          <w:sz w:val="24"/>
          <w:szCs w:val="24"/>
          <w14:textFill>
            <w14:solidFill>
              <w14:schemeClr w14:val="tx1"/>
            </w14:solidFill>
          </w14:textFill>
        </w:rPr>
        <w:t>，应和高等教育质量监测数据平台填报数据一致</w:t>
      </w:r>
      <w:r>
        <w:rPr>
          <w:rFonts w:ascii="Times New Roman" w:hAnsi="Times New Roman" w:eastAsia="仿宋"/>
          <w:snapToGrid w:val="0"/>
          <w:color w:val="000000" w:themeColor="text1"/>
          <w:kern w:val="2"/>
          <w:sz w:val="24"/>
          <w:szCs w:val="24"/>
          <w14:textFill>
            <w14:solidFill>
              <w14:schemeClr w14:val="tx1"/>
            </w14:solidFill>
          </w14:textFill>
        </w:rPr>
        <w:t>。</w:t>
      </w:r>
    </w:p>
    <w:p>
      <w:pPr>
        <w:widowControl w:val="0"/>
        <w:adjustRightInd/>
        <w:snapToGrid/>
        <w:spacing w:after="0" w:line="300" w:lineRule="exact"/>
        <w:rPr>
          <w:rFonts w:ascii="Times New Roman" w:hAnsi="Times New Roman" w:eastAsia="仿宋"/>
          <w:snapToGrid w:val="0"/>
          <w:color w:val="000000" w:themeColor="text1"/>
          <w:kern w:val="2"/>
          <w:sz w:val="24"/>
          <w:szCs w:val="24"/>
          <w14:textFill>
            <w14:solidFill>
              <w14:schemeClr w14:val="tx1"/>
            </w14:solidFill>
          </w14:textFill>
        </w:rPr>
      </w:pPr>
    </w:p>
    <w:p>
      <w:pPr>
        <w:widowControl w:val="0"/>
        <w:adjustRightInd/>
        <w:snapToGrid/>
        <w:spacing w:after="0" w:line="300" w:lineRule="exact"/>
        <w:rPr>
          <w:rFonts w:ascii="Times New Roman" w:hAnsi="Times New Roman" w:eastAsia="仿宋"/>
          <w:snapToGrid w:val="0"/>
          <w:color w:val="000000" w:themeColor="text1"/>
          <w:kern w:val="2"/>
          <w:sz w:val="28"/>
          <w:szCs w:val="28"/>
          <w14:textFill>
            <w14:solidFill>
              <w14:schemeClr w14:val="tx1"/>
            </w14:solidFill>
          </w14:textFill>
        </w:rPr>
      </w:pPr>
      <w:r>
        <w:rPr>
          <w:rFonts w:ascii="Times New Roman" w:hAnsi="Times New Roman" w:eastAsia="仿宋"/>
          <w:snapToGrid w:val="0"/>
          <w:color w:val="000000" w:themeColor="text1"/>
          <w:kern w:val="2"/>
          <w:sz w:val="28"/>
          <w:szCs w:val="28"/>
          <w14:textFill>
            <w14:solidFill>
              <w14:schemeClr w14:val="tx1"/>
            </w14:solidFill>
          </w14:textFill>
        </w:rPr>
        <w:t>2. 在校生情况表</w:t>
      </w:r>
    </w:p>
    <w:tbl>
      <w:tblPr>
        <w:tblStyle w:val="6"/>
        <w:tblW w:w="145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25"/>
        <w:gridCol w:w="3553"/>
        <w:gridCol w:w="2869"/>
        <w:gridCol w:w="2574"/>
        <w:gridCol w:w="2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2625"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ascii="Times New Roman" w:hAnsi="Times New Roman" w:eastAsia="仿宋"/>
                <w:snapToGrid w:val="0"/>
                <w:color w:val="000000" w:themeColor="text1"/>
                <w:kern w:val="2"/>
                <w:sz w:val="24"/>
                <w:szCs w:val="24"/>
                <w14:textFill>
                  <w14:solidFill>
                    <w14:schemeClr w14:val="tx1"/>
                  </w14:solidFill>
                </w14:textFill>
              </w:rPr>
              <w:t>年度</w:t>
            </w:r>
          </w:p>
        </w:tc>
        <w:tc>
          <w:tcPr>
            <w:tcW w:w="3553"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ascii="Times New Roman" w:hAnsi="Times New Roman" w:eastAsia="仿宋"/>
                <w:snapToGrid w:val="0"/>
                <w:color w:val="000000" w:themeColor="text1"/>
                <w:kern w:val="2"/>
                <w:sz w:val="24"/>
                <w:szCs w:val="24"/>
                <w14:textFill>
                  <w14:solidFill>
                    <w14:schemeClr w14:val="tx1"/>
                  </w14:solidFill>
                </w14:textFill>
              </w:rPr>
              <w:t>实际招生人数</w:t>
            </w:r>
          </w:p>
        </w:tc>
        <w:tc>
          <w:tcPr>
            <w:tcW w:w="2869"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ascii="Times New Roman" w:hAnsi="Times New Roman" w:eastAsia="仿宋"/>
                <w:snapToGrid w:val="0"/>
                <w:color w:val="000000" w:themeColor="text1"/>
                <w:kern w:val="2"/>
                <w:sz w:val="24"/>
                <w:szCs w:val="24"/>
                <w14:textFill>
                  <w14:solidFill>
                    <w14:schemeClr w14:val="tx1"/>
                  </w14:solidFill>
                </w14:textFill>
              </w:rPr>
              <w:t>录取率</w:t>
            </w:r>
          </w:p>
        </w:tc>
        <w:tc>
          <w:tcPr>
            <w:tcW w:w="2574"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ascii="Times New Roman" w:hAnsi="Times New Roman" w:eastAsia="仿宋"/>
                <w:snapToGrid w:val="0"/>
                <w:color w:val="000000" w:themeColor="text1"/>
                <w:kern w:val="2"/>
                <w:sz w:val="24"/>
                <w:szCs w:val="24"/>
                <w14:textFill>
                  <w14:solidFill>
                    <w14:schemeClr w14:val="tx1"/>
                  </w14:solidFill>
                </w14:textFill>
              </w:rPr>
              <w:t>报到率</w:t>
            </w:r>
          </w:p>
        </w:tc>
        <w:tc>
          <w:tcPr>
            <w:tcW w:w="2917"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ascii="Times New Roman" w:hAnsi="Times New Roman" w:eastAsia="仿宋"/>
                <w:snapToGrid w:val="0"/>
                <w:color w:val="000000" w:themeColor="text1"/>
                <w:kern w:val="2"/>
                <w:sz w:val="24"/>
                <w:szCs w:val="24"/>
                <w14:textFill>
                  <w14:solidFill>
                    <w14:schemeClr w14:val="tx1"/>
                  </w14:solidFill>
                </w14:textFill>
              </w:rPr>
              <w:t>转专业人数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1" w:hRule="atLeast"/>
        </w:trPr>
        <w:tc>
          <w:tcPr>
            <w:tcW w:w="2625"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ascii="Times New Roman" w:hAnsi="Times New Roman" w:eastAsia="仿宋"/>
                <w:snapToGrid w:val="0"/>
                <w:color w:val="000000" w:themeColor="text1"/>
                <w:kern w:val="2"/>
                <w:sz w:val="24"/>
                <w:szCs w:val="24"/>
                <w14:textFill>
                  <w14:solidFill>
                    <w14:schemeClr w14:val="tx1"/>
                  </w14:solidFill>
                </w14:textFill>
              </w:rPr>
              <w:t>2016年</w:t>
            </w:r>
          </w:p>
        </w:tc>
        <w:tc>
          <w:tcPr>
            <w:tcW w:w="3553"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231</w:t>
            </w:r>
          </w:p>
        </w:tc>
        <w:tc>
          <w:tcPr>
            <w:tcW w:w="2869"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100%</w:t>
            </w:r>
          </w:p>
        </w:tc>
        <w:tc>
          <w:tcPr>
            <w:tcW w:w="2574" w:type="dxa"/>
            <w:vAlign w:val="center"/>
          </w:tcPr>
          <w:p>
            <w:pPr>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bidi="ar"/>
                <w14:textFill>
                  <w14:solidFill>
                    <w14:schemeClr w14:val="tx1"/>
                  </w14:solidFill>
                </w14:textFill>
              </w:rPr>
              <w:t>83.1%</w:t>
            </w:r>
          </w:p>
        </w:tc>
        <w:tc>
          <w:tcPr>
            <w:tcW w:w="2917" w:type="dxa"/>
            <w:vAlign w:val="center"/>
          </w:tcPr>
          <w:p>
            <w:pPr>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转出 0 人/转入0人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2625"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ascii="Times New Roman" w:hAnsi="Times New Roman" w:eastAsia="仿宋"/>
                <w:snapToGrid w:val="0"/>
                <w:color w:val="000000" w:themeColor="text1"/>
                <w:kern w:val="2"/>
                <w:sz w:val="24"/>
                <w:szCs w:val="24"/>
                <w14:textFill>
                  <w14:solidFill>
                    <w14:schemeClr w14:val="tx1"/>
                  </w14:solidFill>
                </w14:textFill>
              </w:rPr>
              <w:t>2017年</w:t>
            </w:r>
          </w:p>
        </w:tc>
        <w:tc>
          <w:tcPr>
            <w:tcW w:w="3553"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108</w:t>
            </w:r>
          </w:p>
        </w:tc>
        <w:tc>
          <w:tcPr>
            <w:tcW w:w="2869"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100%</w:t>
            </w:r>
          </w:p>
        </w:tc>
        <w:tc>
          <w:tcPr>
            <w:tcW w:w="2574" w:type="dxa"/>
            <w:vAlign w:val="center"/>
          </w:tcPr>
          <w:p>
            <w:pPr>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bidi="ar"/>
                <w14:textFill>
                  <w14:solidFill>
                    <w14:schemeClr w14:val="tx1"/>
                  </w14:solidFill>
                </w14:textFill>
              </w:rPr>
              <w:t>91.7%</w:t>
            </w:r>
          </w:p>
        </w:tc>
        <w:tc>
          <w:tcPr>
            <w:tcW w:w="2917" w:type="dxa"/>
            <w:vAlign w:val="center"/>
          </w:tcPr>
          <w:p>
            <w:pPr>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转出 9</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人/转入1人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2625"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ascii="Times New Roman" w:hAnsi="Times New Roman" w:eastAsia="仿宋"/>
                <w:snapToGrid w:val="0"/>
                <w:color w:val="000000" w:themeColor="text1"/>
                <w:kern w:val="2"/>
                <w:sz w:val="24"/>
                <w:szCs w:val="24"/>
                <w14:textFill>
                  <w14:solidFill>
                    <w14:schemeClr w14:val="tx1"/>
                  </w14:solidFill>
                </w14:textFill>
              </w:rPr>
              <w:t>2018年</w:t>
            </w:r>
          </w:p>
        </w:tc>
        <w:tc>
          <w:tcPr>
            <w:tcW w:w="3553"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84</w:t>
            </w:r>
          </w:p>
        </w:tc>
        <w:tc>
          <w:tcPr>
            <w:tcW w:w="2869"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100%</w:t>
            </w:r>
          </w:p>
        </w:tc>
        <w:tc>
          <w:tcPr>
            <w:tcW w:w="2574" w:type="dxa"/>
            <w:vAlign w:val="center"/>
          </w:tcPr>
          <w:p>
            <w:pPr>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bidi="ar"/>
                <w14:textFill>
                  <w14:solidFill>
                    <w14:schemeClr w14:val="tx1"/>
                  </w14:solidFill>
                </w14:textFill>
              </w:rPr>
              <w:t>89.3%</w:t>
            </w:r>
          </w:p>
        </w:tc>
        <w:tc>
          <w:tcPr>
            <w:tcW w:w="2917" w:type="dxa"/>
            <w:vAlign w:val="center"/>
          </w:tcPr>
          <w:p>
            <w:pPr>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转出 0人/转入1人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atLeast"/>
        </w:trPr>
        <w:tc>
          <w:tcPr>
            <w:tcW w:w="2625"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ascii="Times New Roman" w:hAnsi="Times New Roman" w:eastAsia="仿宋"/>
                <w:snapToGrid w:val="0"/>
                <w:color w:val="000000" w:themeColor="text1"/>
                <w:kern w:val="2"/>
                <w:sz w:val="24"/>
                <w:szCs w:val="24"/>
                <w14:textFill>
                  <w14:solidFill>
                    <w14:schemeClr w14:val="tx1"/>
                  </w14:solidFill>
                </w14:textFill>
              </w:rPr>
              <w:t>2019年</w:t>
            </w:r>
          </w:p>
        </w:tc>
        <w:tc>
          <w:tcPr>
            <w:tcW w:w="3553"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191</w:t>
            </w:r>
          </w:p>
        </w:tc>
        <w:tc>
          <w:tcPr>
            <w:tcW w:w="2869"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100%</w:t>
            </w:r>
          </w:p>
        </w:tc>
        <w:tc>
          <w:tcPr>
            <w:tcW w:w="2574" w:type="dxa"/>
            <w:vAlign w:val="center"/>
          </w:tcPr>
          <w:p>
            <w:pPr>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bidi="ar"/>
                <w14:textFill>
                  <w14:solidFill>
                    <w14:schemeClr w14:val="tx1"/>
                  </w14:solidFill>
                </w14:textFill>
              </w:rPr>
              <w:t>88.0%</w:t>
            </w:r>
          </w:p>
        </w:tc>
        <w:tc>
          <w:tcPr>
            <w:tcW w:w="2917" w:type="dxa"/>
            <w:vAlign w:val="center"/>
          </w:tcPr>
          <w:p>
            <w:pPr>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转出0人/转入0人</w:t>
            </w:r>
          </w:p>
        </w:tc>
      </w:tr>
    </w:tbl>
    <w:p>
      <w:pPr>
        <w:widowControl w:val="0"/>
        <w:adjustRightInd/>
        <w:snapToGrid/>
        <w:spacing w:after="0" w:line="300" w:lineRule="exact"/>
        <w:rPr>
          <w:rFonts w:ascii="Times New Roman" w:hAnsi="Times New Roman" w:eastAsia="仿宋"/>
          <w:snapToGrid w:val="0"/>
          <w:color w:val="000000"/>
          <w:kern w:val="2"/>
          <w:sz w:val="24"/>
          <w:szCs w:val="24"/>
        </w:rPr>
      </w:pPr>
    </w:p>
    <w:p>
      <w:pPr>
        <w:widowControl w:val="0"/>
        <w:adjustRightInd/>
        <w:snapToGrid/>
        <w:spacing w:after="0" w:line="300" w:lineRule="exact"/>
        <w:rPr>
          <w:rFonts w:ascii="Times New Roman" w:hAnsi="Times New Roman" w:eastAsia="仿宋"/>
          <w:snapToGrid w:val="0"/>
          <w:color w:val="000000"/>
          <w:kern w:val="2"/>
          <w:sz w:val="28"/>
          <w:szCs w:val="28"/>
        </w:rPr>
      </w:pP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3. 专业教师基本情况表</w:t>
      </w:r>
    </w:p>
    <w:p>
      <w:pPr>
        <w:widowControl w:val="0"/>
        <w:adjustRightInd/>
        <w:snapToGrid/>
        <w:spacing w:after="0" w:line="300" w:lineRule="exact"/>
        <w:ind w:left="360" w:hanging="360" w:hangingChars="150"/>
        <w:rPr>
          <w:rFonts w:ascii="Times New Roman" w:hAnsi="Times New Roman" w:eastAsia="仿宋"/>
          <w:snapToGrid w:val="0"/>
          <w:color w:val="000000"/>
          <w:kern w:val="2"/>
          <w:sz w:val="24"/>
          <w:szCs w:val="24"/>
        </w:rPr>
      </w:pPr>
    </w:p>
    <w:tbl>
      <w:tblPr>
        <w:tblStyle w:val="6"/>
        <w:tblW w:w="14454" w:type="dxa"/>
        <w:tblInd w:w="0" w:type="dxa"/>
        <w:tblLayout w:type="fixed"/>
        <w:tblCellMar>
          <w:top w:w="0" w:type="dxa"/>
          <w:left w:w="108" w:type="dxa"/>
          <w:bottom w:w="0" w:type="dxa"/>
          <w:right w:w="108" w:type="dxa"/>
        </w:tblCellMar>
      </w:tblPr>
      <w:tblGrid>
        <w:gridCol w:w="471"/>
        <w:gridCol w:w="510"/>
        <w:gridCol w:w="510"/>
        <w:gridCol w:w="696"/>
        <w:gridCol w:w="456"/>
        <w:gridCol w:w="696"/>
        <w:gridCol w:w="510"/>
        <w:gridCol w:w="696"/>
        <w:gridCol w:w="696"/>
        <w:gridCol w:w="510"/>
        <w:gridCol w:w="696"/>
        <w:gridCol w:w="1345"/>
        <w:gridCol w:w="1232"/>
        <w:gridCol w:w="1176"/>
        <w:gridCol w:w="1176"/>
        <w:gridCol w:w="1296"/>
        <w:gridCol w:w="601"/>
        <w:gridCol w:w="1181"/>
      </w:tblGrid>
      <w:tr>
        <w:tblPrEx>
          <w:tblLayout w:type="fixed"/>
          <w:tblCellMar>
            <w:top w:w="0" w:type="dxa"/>
            <w:left w:w="108" w:type="dxa"/>
            <w:bottom w:w="0" w:type="dxa"/>
            <w:right w:w="108" w:type="dxa"/>
          </w:tblCellMar>
        </w:tblPrEx>
        <w:trPr>
          <w:trHeight w:val="1020" w:hRule="atLeast"/>
        </w:trPr>
        <w:tc>
          <w:tcPr>
            <w:tcW w:w="4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姓名</w:t>
            </w:r>
          </w:p>
        </w:tc>
        <w:tc>
          <w:tcPr>
            <w:tcW w:w="5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性别</w:t>
            </w:r>
          </w:p>
        </w:tc>
        <w:tc>
          <w:tcPr>
            <w:tcW w:w="5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年龄</w:t>
            </w:r>
          </w:p>
        </w:tc>
        <w:tc>
          <w:tcPr>
            <w:tcW w:w="6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专业技术资格</w:t>
            </w:r>
          </w:p>
        </w:tc>
        <w:tc>
          <w:tcPr>
            <w:tcW w:w="4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所属院系</w:t>
            </w:r>
          </w:p>
        </w:tc>
        <w:tc>
          <w:tcPr>
            <w:tcW w:w="1902" w:type="dxa"/>
            <w:gridSpan w:val="3"/>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第一学历</w:t>
            </w:r>
          </w:p>
        </w:tc>
        <w:tc>
          <w:tcPr>
            <w:tcW w:w="1902" w:type="dxa"/>
            <w:gridSpan w:val="3"/>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最高学位</w:t>
            </w:r>
          </w:p>
        </w:tc>
        <w:tc>
          <w:tcPr>
            <w:tcW w:w="13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主要行业经历</w:t>
            </w:r>
          </w:p>
        </w:tc>
        <w:tc>
          <w:tcPr>
            <w:tcW w:w="4880" w:type="dxa"/>
            <w:gridSpan w:val="4"/>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主讲专业课程</w:t>
            </w:r>
          </w:p>
        </w:tc>
        <w:tc>
          <w:tcPr>
            <w:tcW w:w="6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专职</w:t>
            </w:r>
            <w:r>
              <w:rPr>
                <w:rFonts w:hint="eastAsia" w:ascii="仿宋" w:hAnsi="仿宋" w:eastAsia="仿宋" w:cs="宋体"/>
                <w:color w:val="000000"/>
                <w:sz w:val="24"/>
                <w:szCs w:val="24"/>
              </w:rPr>
              <w:t>/</w:t>
            </w:r>
            <w:r>
              <w:rPr>
                <w:rFonts w:hint="eastAsia" w:ascii="仿宋" w:hAnsi="仿宋" w:eastAsia="仿宋" w:cs="微软雅黑"/>
                <w:color w:val="000000"/>
                <w:sz w:val="24"/>
                <w:szCs w:val="24"/>
              </w:rPr>
              <w:t>兼职</w:t>
            </w:r>
          </w:p>
        </w:tc>
        <w:tc>
          <w:tcPr>
            <w:tcW w:w="11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近</w:t>
            </w:r>
            <w:r>
              <w:rPr>
                <w:rFonts w:hint="eastAsia" w:ascii="仿宋" w:hAnsi="仿宋" w:eastAsia="仿宋" w:cs="宋体"/>
                <w:color w:val="000000"/>
                <w:sz w:val="24"/>
                <w:szCs w:val="24"/>
              </w:rPr>
              <w:t>4</w:t>
            </w:r>
            <w:r>
              <w:rPr>
                <w:rFonts w:hint="eastAsia" w:ascii="仿宋" w:hAnsi="仿宋" w:eastAsia="仿宋" w:cs="微软雅黑"/>
                <w:color w:val="000000"/>
                <w:sz w:val="24"/>
                <w:szCs w:val="24"/>
              </w:rPr>
              <w:t>年间参与教学的其他专业名称</w:t>
            </w:r>
          </w:p>
        </w:tc>
      </w:tr>
      <w:tr>
        <w:tblPrEx>
          <w:tblLayout w:type="fixed"/>
          <w:tblCellMar>
            <w:top w:w="0" w:type="dxa"/>
            <w:left w:w="108" w:type="dxa"/>
            <w:bottom w:w="0" w:type="dxa"/>
            <w:right w:w="108" w:type="dxa"/>
          </w:tblCellMar>
        </w:tblPrEx>
        <w:trPr>
          <w:trHeight w:val="481" w:hRule="atLeast"/>
        </w:trPr>
        <w:tc>
          <w:tcPr>
            <w:tcW w:w="47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仿宋" w:hAnsi="仿宋" w:eastAsia="仿宋" w:cs="宋体"/>
                <w:color w:val="000000"/>
                <w:sz w:val="24"/>
                <w:szCs w:val="24"/>
              </w:rPr>
            </w:pPr>
          </w:p>
        </w:tc>
        <w:tc>
          <w:tcPr>
            <w:tcW w:w="51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仿宋" w:hAnsi="仿宋" w:eastAsia="仿宋" w:cs="宋体"/>
                <w:color w:val="000000"/>
                <w:sz w:val="24"/>
                <w:szCs w:val="24"/>
              </w:rPr>
            </w:pPr>
          </w:p>
        </w:tc>
        <w:tc>
          <w:tcPr>
            <w:tcW w:w="51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仿宋" w:hAnsi="仿宋" w:eastAsia="仿宋" w:cs="宋体"/>
                <w:color w:val="000000"/>
                <w:sz w:val="24"/>
                <w:szCs w:val="24"/>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仿宋" w:hAnsi="仿宋" w:eastAsia="仿宋" w:cs="宋体"/>
                <w:color w:val="000000"/>
                <w:sz w:val="24"/>
                <w:szCs w:val="24"/>
              </w:rPr>
            </w:pPr>
          </w:p>
        </w:tc>
        <w:tc>
          <w:tcPr>
            <w:tcW w:w="456"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仿宋" w:hAnsi="仿宋" w:eastAsia="仿宋" w:cs="宋体"/>
                <w:color w:val="000000"/>
                <w:sz w:val="24"/>
                <w:szCs w:val="24"/>
              </w:rPr>
            </w:pP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专业</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学位</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学校</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专业</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学位</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学校</w:t>
            </w:r>
          </w:p>
        </w:tc>
        <w:tc>
          <w:tcPr>
            <w:tcW w:w="1345"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仿宋" w:hAnsi="仿宋" w:eastAsia="仿宋" w:cs="宋体"/>
                <w:color w:val="000000"/>
                <w:sz w:val="24"/>
                <w:szCs w:val="24"/>
              </w:rPr>
            </w:pP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2016</w:t>
            </w: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2017</w:t>
            </w: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2018</w:t>
            </w: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2019</w:t>
            </w:r>
          </w:p>
        </w:tc>
        <w:tc>
          <w:tcPr>
            <w:tcW w:w="60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仿宋" w:hAnsi="仿宋" w:eastAsia="仿宋" w:cs="宋体"/>
                <w:color w:val="000000"/>
                <w:sz w:val="24"/>
                <w:szCs w:val="24"/>
              </w:rPr>
            </w:pPr>
          </w:p>
        </w:tc>
        <w:tc>
          <w:tcPr>
            <w:tcW w:w="118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仿宋" w:hAnsi="仿宋" w:eastAsia="仿宋" w:cs="宋体"/>
                <w:color w:val="000000"/>
                <w:sz w:val="24"/>
                <w:szCs w:val="24"/>
              </w:rPr>
            </w:pPr>
          </w:p>
        </w:tc>
      </w:tr>
      <w:tr>
        <w:tblPrEx>
          <w:tblLayout w:type="fixed"/>
          <w:tblCellMar>
            <w:top w:w="0" w:type="dxa"/>
            <w:left w:w="108" w:type="dxa"/>
            <w:bottom w:w="0" w:type="dxa"/>
            <w:right w:w="108" w:type="dxa"/>
          </w:tblCellMar>
        </w:tblPrEx>
        <w:trPr>
          <w:trHeight w:val="1890"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黄锡富</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男</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55</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教授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思想政治教育</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广西师范大学</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武汉大学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一直从事教学工作</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统计学原理，审计学</w:t>
            </w: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统计学原理</w:t>
            </w: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兼职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国际经济与贸易，市场营销，金融工程</w:t>
            </w:r>
          </w:p>
        </w:tc>
      </w:tr>
      <w:tr>
        <w:tblPrEx>
          <w:tblLayout w:type="fixed"/>
          <w:tblCellMar>
            <w:top w:w="0" w:type="dxa"/>
            <w:left w:w="108" w:type="dxa"/>
            <w:bottom w:w="0" w:type="dxa"/>
            <w:right w:w="108" w:type="dxa"/>
          </w:tblCellMar>
        </w:tblPrEx>
        <w:trPr>
          <w:trHeight w:val="1620"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潘念萍</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46</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教授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会计</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中南财经政法大学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大学教师</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毕业论文指导</w:t>
            </w: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兼职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r>
      <w:tr>
        <w:tblPrEx>
          <w:tblLayout w:type="fixed"/>
          <w:tblCellMar>
            <w:top w:w="0" w:type="dxa"/>
            <w:left w:w="108" w:type="dxa"/>
            <w:bottom w:w="0" w:type="dxa"/>
            <w:right w:w="108" w:type="dxa"/>
          </w:tblCellMar>
        </w:tblPrEx>
        <w:trPr>
          <w:trHeight w:val="157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高歌</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男</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66</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教授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政治经济学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无</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四川大学</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政治经济学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中山大学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广西外经外贸部门工作</w:t>
            </w:r>
            <w:r>
              <w:rPr>
                <w:rFonts w:hint="eastAsia" w:ascii="仿宋" w:hAnsi="仿宋" w:eastAsia="仿宋" w:cs="宋体"/>
                <w:color w:val="000000"/>
                <w:sz w:val="24"/>
                <w:szCs w:val="24"/>
              </w:rPr>
              <w:t>20</w:t>
            </w:r>
            <w:r>
              <w:rPr>
                <w:rFonts w:hint="eastAsia" w:ascii="仿宋" w:hAnsi="仿宋" w:eastAsia="仿宋" w:cs="微软雅黑"/>
                <w:color w:val="000000"/>
                <w:sz w:val="24"/>
                <w:szCs w:val="24"/>
              </w:rPr>
              <w:t>多年</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项目投融资管理</w:t>
            </w: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毕业论文指导</w:t>
            </w: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兼职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国际经济与贸易，金融工程</w:t>
            </w:r>
          </w:p>
        </w:tc>
      </w:tr>
      <w:tr>
        <w:tblPrEx>
          <w:tblLayout w:type="fixed"/>
          <w:tblCellMar>
            <w:top w:w="0" w:type="dxa"/>
            <w:left w:w="108" w:type="dxa"/>
            <w:bottom w:w="0" w:type="dxa"/>
            <w:right w:w="108" w:type="dxa"/>
          </w:tblCellMar>
        </w:tblPrEx>
        <w:trPr>
          <w:trHeight w:val="220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官锡强</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男</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61</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教授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政治教育</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玉林师范学院</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政治经济学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一直从事教育工作</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人力资源管理</w:t>
            </w: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兼职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国际经济与贸易，市场营销，文化产业管理</w:t>
            </w:r>
          </w:p>
        </w:tc>
      </w:tr>
      <w:tr>
        <w:tblPrEx>
          <w:tblLayout w:type="fixed"/>
          <w:tblCellMar>
            <w:top w:w="0" w:type="dxa"/>
            <w:left w:w="108" w:type="dxa"/>
            <w:bottom w:w="0" w:type="dxa"/>
            <w:right w:w="108" w:type="dxa"/>
          </w:tblCellMar>
        </w:tblPrEx>
        <w:trPr>
          <w:trHeight w:val="157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卢功文</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男</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51</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高级会计师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会计</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无</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广西大学</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工商管理</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无</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从事会计、财务总监工作</w:t>
            </w:r>
            <w:r>
              <w:rPr>
                <w:rFonts w:hint="eastAsia" w:ascii="仿宋" w:hAnsi="仿宋" w:eastAsia="仿宋" w:cs="宋体"/>
                <w:color w:val="000000"/>
                <w:sz w:val="24"/>
                <w:szCs w:val="24"/>
              </w:rPr>
              <w:t>12</w:t>
            </w:r>
            <w:r>
              <w:rPr>
                <w:rFonts w:hint="eastAsia" w:ascii="仿宋" w:hAnsi="仿宋" w:eastAsia="仿宋" w:cs="微软雅黑"/>
                <w:color w:val="000000"/>
                <w:sz w:val="24"/>
                <w:szCs w:val="24"/>
              </w:rPr>
              <w:t>年，从事财税教学工作</w:t>
            </w:r>
            <w:r>
              <w:rPr>
                <w:rFonts w:hint="eastAsia" w:ascii="仿宋" w:hAnsi="仿宋" w:eastAsia="仿宋" w:cs="宋体"/>
                <w:color w:val="000000"/>
                <w:sz w:val="24"/>
                <w:szCs w:val="24"/>
              </w:rPr>
              <w:t>13</w:t>
            </w:r>
            <w:r>
              <w:rPr>
                <w:rFonts w:hint="eastAsia" w:ascii="仿宋" w:hAnsi="仿宋" w:eastAsia="仿宋" w:cs="微软雅黑"/>
                <w:color w:val="000000"/>
                <w:sz w:val="24"/>
                <w:szCs w:val="24"/>
              </w:rPr>
              <w:t>年</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纳税筹划，金融会计，资产评估</w:t>
            </w: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税法与纳税筹划，金融会计，毕业论文指导</w:t>
            </w: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专职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市场营销，金融工程</w:t>
            </w:r>
          </w:p>
        </w:tc>
      </w:tr>
      <w:tr>
        <w:tblPrEx>
          <w:tblLayout w:type="fixed"/>
          <w:tblCellMar>
            <w:top w:w="0" w:type="dxa"/>
            <w:left w:w="108" w:type="dxa"/>
            <w:bottom w:w="0" w:type="dxa"/>
            <w:right w:w="108" w:type="dxa"/>
          </w:tblCellMar>
        </w:tblPrEx>
        <w:trPr>
          <w:trHeight w:val="2520"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韦坚</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62</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高级经济师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企业管理</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无</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广西广播电视大学</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企业管理</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无</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广西广播电视大学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1990</w:t>
            </w:r>
            <w:r>
              <w:rPr>
                <w:rFonts w:hint="eastAsia" w:ascii="仿宋" w:hAnsi="仿宋" w:eastAsia="仿宋" w:cs="微软雅黑"/>
                <w:color w:val="000000"/>
                <w:sz w:val="24"/>
                <w:szCs w:val="24"/>
              </w:rPr>
              <w:t>年至</w:t>
            </w:r>
            <w:r>
              <w:rPr>
                <w:rFonts w:hint="eastAsia" w:ascii="仿宋" w:hAnsi="仿宋" w:eastAsia="仿宋" w:cs="宋体"/>
                <w:color w:val="000000"/>
                <w:sz w:val="24"/>
                <w:szCs w:val="24"/>
              </w:rPr>
              <w:t>2012</w:t>
            </w:r>
            <w:r>
              <w:rPr>
                <w:rFonts w:hint="eastAsia" w:ascii="仿宋" w:hAnsi="仿宋" w:eastAsia="仿宋" w:cs="微软雅黑"/>
                <w:color w:val="000000"/>
                <w:sz w:val="24"/>
                <w:szCs w:val="24"/>
              </w:rPr>
              <w:t>年在广西教育学院工作，从事财务和审计工作，兼职函授教学，</w:t>
            </w:r>
            <w:r>
              <w:rPr>
                <w:rFonts w:hint="eastAsia" w:ascii="仿宋" w:hAnsi="仿宋" w:eastAsia="仿宋" w:cs="宋体"/>
                <w:color w:val="000000"/>
                <w:sz w:val="24"/>
                <w:szCs w:val="24"/>
              </w:rPr>
              <w:t>2012</w:t>
            </w:r>
            <w:r>
              <w:rPr>
                <w:rFonts w:hint="eastAsia" w:ascii="仿宋" w:hAnsi="仿宋" w:eastAsia="仿宋" w:cs="微软雅黑"/>
                <w:color w:val="000000"/>
                <w:sz w:val="24"/>
                <w:szCs w:val="24"/>
              </w:rPr>
              <w:t>年</w:t>
            </w:r>
            <w:r>
              <w:rPr>
                <w:rFonts w:hint="eastAsia" w:ascii="仿宋" w:hAnsi="仿宋" w:eastAsia="仿宋" w:cs="宋体"/>
                <w:color w:val="000000"/>
                <w:sz w:val="24"/>
                <w:szCs w:val="24"/>
              </w:rPr>
              <w:t>10</w:t>
            </w:r>
            <w:r>
              <w:rPr>
                <w:rFonts w:hint="eastAsia" w:ascii="仿宋" w:hAnsi="仿宋" w:eastAsia="仿宋" w:cs="微软雅黑"/>
                <w:color w:val="000000"/>
                <w:sz w:val="24"/>
                <w:szCs w:val="24"/>
              </w:rPr>
              <w:t>月至</w:t>
            </w:r>
            <w:r>
              <w:rPr>
                <w:rFonts w:hint="eastAsia" w:ascii="仿宋" w:hAnsi="仿宋" w:eastAsia="仿宋" w:cs="宋体"/>
                <w:color w:val="000000"/>
                <w:sz w:val="24"/>
                <w:szCs w:val="24"/>
              </w:rPr>
              <w:t>2018</w:t>
            </w:r>
            <w:r>
              <w:rPr>
                <w:rFonts w:hint="eastAsia" w:ascii="仿宋" w:hAnsi="仿宋" w:eastAsia="仿宋" w:cs="微软雅黑"/>
                <w:color w:val="000000"/>
                <w:sz w:val="24"/>
                <w:szCs w:val="24"/>
              </w:rPr>
              <w:t>年</w:t>
            </w:r>
            <w:r>
              <w:rPr>
                <w:rFonts w:hint="eastAsia" w:ascii="仿宋" w:hAnsi="仿宋" w:eastAsia="仿宋" w:cs="宋体"/>
                <w:color w:val="000000"/>
                <w:sz w:val="24"/>
                <w:szCs w:val="24"/>
              </w:rPr>
              <w:t>7</w:t>
            </w:r>
            <w:r>
              <w:rPr>
                <w:rFonts w:hint="eastAsia" w:ascii="仿宋" w:hAnsi="仿宋" w:eastAsia="仿宋" w:cs="微软雅黑"/>
                <w:color w:val="000000"/>
                <w:sz w:val="24"/>
                <w:szCs w:val="24"/>
              </w:rPr>
              <w:t>月进入师园学院计财处工作，兼职经管系的教学工作</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中级财务会计（下），出纳实务</w:t>
            </w: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专职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国际经济与贸易，市场营销，金融工程</w:t>
            </w:r>
          </w:p>
        </w:tc>
      </w:tr>
      <w:tr>
        <w:tblPrEx>
          <w:tblLayout w:type="fixed"/>
          <w:tblCellMar>
            <w:top w:w="0" w:type="dxa"/>
            <w:left w:w="108" w:type="dxa"/>
            <w:bottom w:w="0" w:type="dxa"/>
            <w:right w:w="108" w:type="dxa"/>
          </w:tblCellMar>
        </w:tblPrEx>
        <w:trPr>
          <w:trHeight w:val="178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农海燕</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57</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副教授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会计学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中南财经大学</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会计学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中南财经大学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管理会计</w:t>
            </w: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兼职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无</w:t>
            </w:r>
          </w:p>
        </w:tc>
      </w:tr>
      <w:tr>
        <w:tblPrEx>
          <w:tblLayout w:type="fixed"/>
          <w:tblCellMar>
            <w:top w:w="0" w:type="dxa"/>
            <w:left w:w="108" w:type="dxa"/>
            <w:bottom w:w="0" w:type="dxa"/>
            <w:right w:w="108" w:type="dxa"/>
          </w:tblCellMar>
        </w:tblPrEx>
        <w:trPr>
          <w:trHeight w:val="157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李文兰</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57</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高级实验师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会计学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广西大学</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会计学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会计学基础</w:t>
            </w: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兼职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无</w:t>
            </w:r>
          </w:p>
        </w:tc>
      </w:tr>
      <w:tr>
        <w:tblPrEx>
          <w:tblLayout w:type="fixed"/>
          <w:tblCellMar>
            <w:top w:w="0" w:type="dxa"/>
            <w:left w:w="108" w:type="dxa"/>
            <w:bottom w:w="0" w:type="dxa"/>
            <w:right w:w="108" w:type="dxa"/>
          </w:tblCellMar>
        </w:tblPrEx>
        <w:trPr>
          <w:trHeight w:val="1671"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梁明贤</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男</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72</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中学高级教师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工业企业财务与会计</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无</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广西财经学院</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工业企业财务与会计</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无</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广西财经学院</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会计学基础</w:t>
            </w: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高级财务会计</w:t>
            </w: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兼职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无</w:t>
            </w:r>
          </w:p>
        </w:tc>
      </w:tr>
      <w:tr>
        <w:tblPrEx>
          <w:tblLayout w:type="fixed"/>
          <w:tblCellMar>
            <w:top w:w="0" w:type="dxa"/>
            <w:left w:w="108" w:type="dxa"/>
            <w:bottom w:w="0" w:type="dxa"/>
            <w:right w:w="108" w:type="dxa"/>
          </w:tblCellMar>
        </w:tblPrEx>
        <w:trPr>
          <w:trHeight w:val="220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何有良</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男</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44</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副教授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国民经济学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博士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中央财经大学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1</w:t>
            </w:r>
            <w:r>
              <w:rPr>
                <w:rFonts w:hint="eastAsia" w:ascii="仿宋" w:hAnsi="仿宋" w:eastAsia="仿宋" w:cs="微软雅黑"/>
                <w:color w:val="000000"/>
                <w:sz w:val="24"/>
                <w:szCs w:val="24"/>
              </w:rPr>
              <w:t>、</w:t>
            </w:r>
            <w:r>
              <w:rPr>
                <w:rFonts w:hint="eastAsia" w:ascii="仿宋" w:hAnsi="仿宋" w:eastAsia="仿宋" w:cs="宋体"/>
                <w:color w:val="000000"/>
                <w:sz w:val="24"/>
                <w:szCs w:val="24"/>
              </w:rPr>
              <w:t>2005</w:t>
            </w:r>
            <w:r>
              <w:rPr>
                <w:rFonts w:hint="eastAsia" w:ascii="仿宋" w:hAnsi="仿宋" w:eastAsia="仿宋" w:cs="微软雅黑"/>
                <w:color w:val="000000"/>
                <w:sz w:val="24"/>
                <w:szCs w:val="24"/>
              </w:rPr>
              <w:t>年</w:t>
            </w:r>
            <w:r>
              <w:rPr>
                <w:rFonts w:hint="eastAsia" w:ascii="仿宋" w:hAnsi="仿宋" w:eastAsia="仿宋" w:cs="宋体"/>
                <w:color w:val="000000"/>
                <w:sz w:val="24"/>
                <w:szCs w:val="24"/>
              </w:rPr>
              <w:t>7</w:t>
            </w:r>
            <w:r>
              <w:rPr>
                <w:rFonts w:hint="eastAsia" w:ascii="仿宋" w:hAnsi="仿宋" w:eastAsia="仿宋" w:cs="微软雅黑"/>
                <w:color w:val="000000"/>
                <w:sz w:val="24"/>
                <w:szCs w:val="24"/>
              </w:rPr>
              <w:t>月</w:t>
            </w:r>
            <w:r>
              <w:rPr>
                <w:rFonts w:hint="eastAsia" w:ascii="仿宋" w:hAnsi="仿宋" w:eastAsia="仿宋" w:cs="宋体"/>
                <w:color w:val="000000"/>
                <w:sz w:val="24"/>
                <w:szCs w:val="24"/>
              </w:rPr>
              <w:t>-2010</w:t>
            </w:r>
            <w:r>
              <w:rPr>
                <w:rFonts w:hint="eastAsia" w:ascii="仿宋" w:hAnsi="仿宋" w:eastAsia="仿宋" w:cs="微软雅黑"/>
                <w:color w:val="000000"/>
                <w:sz w:val="24"/>
                <w:szCs w:val="24"/>
              </w:rPr>
              <w:t>年</w:t>
            </w:r>
            <w:r>
              <w:rPr>
                <w:rFonts w:hint="eastAsia" w:ascii="仿宋" w:hAnsi="仿宋" w:eastAsia="仿宋" w:cs="宋体"/>
                <w:color w:val="000000"/>
                <w:sz w:val="24"/>
                <w:szCs w:val="24"/>
              </w:rPr>
              <w:t>7</w:t>
            </w:r>
            <w:r>
              <w:rPr>
                <w:rFonts w:hint="eastAsia" w:ascii="仿宋" w:hAnsi="仿宋" w:eastAsia="仿宋" w:cs="微软雅黑"/>
                <w:color w:val="000000"/>
                <w:sz w:val="24"/>
                <w:szCs w:val="24"/>
              </w:rPr>
              <w:t>月</w:t>
            </w:r>
            <w:r>
              <w:rPr>
                <w:rFonts w:hint="eastAsia" w:ascii="仿宋" w:hAnsi="仿宋" w:eastAsia="仿宋" w:cs="宋体"/>
                <w:color w:val="000000"/>
                <w:sz w:val="24"/>
                <w:szCs w:val="24"/>
              </w:rPr>
              <w:t xml:space="preserve"> </w:t>
            </w:r>
            <w:r>
              <w:rPr>
                <w:rFonts w:hint="eastAsia" w:ascii="仿宋" w:hAnsi="仿宋" w:eastAsia="仿宋" w:cs="微软雅黑"/>
                <w:color w:val="000000"/>
                <w:sz w:val="24"/>
                <w:szCs w:val="24"/>
              </w:rPr>
              <w:t>广西财经学院任教，</w:t>
            </w:r>
            <w:r>
              <w:rPr>
                <w:rFonts w:hint="eastAsia" w:ascii="仿宋" w:hAnsi="仿宋" w:eastAsia="仿宋" w:cs="宋体"/>
                <w:color w:val="000000"/>
                <w:sz w:val="24"/>
                <w:szCs w:val="24"/>
              </w:rPr>
              <w:br w:type="textWrapping"/>
            </w:r>
            <w:r>
              <w:rPr>
                <w:rFonts w:hint="eastAsia" w:ascii="仿宋" w:hAnsi="仿宋" w:eastAsia="仿宋" w:cs="宋体"/>
                <w:color w:val="000000"/>
                <w:sz w:val="24"/>
                <w:szCs w:val="24"/>
              </w:rPr>
              <w:t>2</w:t>
            </w:r>
            <w:r>
              <w:rPr>
                <w:rFonts w:hint="eastAsia" w:ascii="仿宋" w:hAnsi="仿宋" w:eastAsia="仿宋" w:cs="微软雅黑"/>
                <w:color w:val="000000"/>
                <w:sz w:val="24"/>
                <w:szCs w:val="24"/>
              </w:rPr>
              <w:t>、</w:t>
            </w:r>
            <w:r>
              <w:rPr>
                <w:rFonts w:hint="eastAsia" w:ascii="仿宋" w:hAnsi="仿宋" w:eastAsia="仿宋" w:cs="宋体"/>
                <w:color w:val="000000"/>
                <w:sz w:val="24"/>
                <w:szCs w:val="24"/>
              </w:rPr>
              <w:t>2010</w:t>
            </w:r>
            <w:r>
              <w:rPr>
                <w:rFonts w:hint="eastAsia" w:ascii="仿宋" w:hAnsi="仿宋" w:eastAsia="仿宋" w:cs="微软雅黑"/>
                <w:color w:val="000000"/>
                <w:sz w:val="24"/>
                <w:szCs w:val="24"/>
              </w:rPr>
              <w:t>年</w:t>
            </w:r>
            <w:r>
              <w:rPr>
                <w:rFonts w:hint="eastAsia" w:ascii="仿宋" w:hAnsi="仿宋" w:eastAsia="仿宋" w:cs="宋体"/>
                <w:color w:val="000000"/>
                <w:sz w:val="24"/>
                <w:szCs w:val="24"/>
              </w:rPr>
              <w:t>7</w:t>
            </w:r>
            <w:r>
              <w:rPr>
                <w:rFonts w:hint="eastAsia" w:ascii="仿宋" w:hAnsi="仿宋" w:eastAsia="仿宋" w:cs="微软雅黑"/>
                <w:color w:val="000000"/>
                <w:sz w:val="24"/>
                <w:szCs w:val="24"/>
              </w:rPr>
              <w:t>月</w:t>
            </w:r>
            <w:r>
              <w:rPr>
                <w:rFonts w:hint="eastAsia" w:ascii="仿宋" w:hAnsi="仿宋" w:eastAsia="仿宋" w:cs="宋体"/>
                <w:color w:val="000000"/>
                <w:sz w:val="24"/>
                <w:szCs w:val="24"/>
              </w:rPr>
              <w:t xml:space="preserve">- </w:t>
            </w:r>
            <w:r>
              <w:rPr>
                <w:rFonts w:hint="eastAsia" w:ascii="仿宋" w:hAnsi="仿宋" w:eastAsia="仿宋" w:cs="微软雅黑"/>
                <w:color w:val="000000"/>
                <w:sz w:val="24"/>
                <w:szCs w:val="24"/>
              </w:rPr>
              <w:t>至今</w:t>
            </w:r>
            <w:r>
              <w:rPr>
                <w:rFonts w:hint="eastAsia" w:ascii="仿宋" w:hAnsi="仿宋" w:eastAsia="仿宋" w:cs="宋体"/>
                <w:color w:val="000000"/>
                <w:sz w:val="24"/>
                <w:szCs w:val="24"/>
              </w:rPr>
              <w:t xml:space="preserve"> </w:t>
            </w:r>
            <w:r>
              <w:rPr>
                <w:rFonts w:hint="eastAsia" w:ascii="仿宋" w:hAnsi="仿宋" w:eastAsia="仿宋" w:cs="微软雅黑"/>
                <w:color w:val="000000"/>
                <w:sz w:val="24"/>
                <w:szCs w:val="24"/>
              </w:rPr>
              <w:t>广西经济管理干部学院工作</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财务管理</w:t>
            </w: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毕业论文指导</w:t>
            </w: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兼职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国际经济与贸易，金融工程，文化产业管理</w:t>
            </w:r>
          </w:p>
        </w:tc>
      </w:tr>
      <w:tr>
        <w:tblPrEx>
          <w:tblLayout w:type="fixed"/>
          <w:tblCellMar>
            <w:top w:w="0" w:type="dxa"/>
            <w:left w:w="108" w:type="dxa"/>
            <w:bottom w:w="0" w:type="dxa"/>
            <w:right w:w="108" w:type="dxa"/>
          </w:tblCellMar>
        </w:tblPrEx>
        <w:trPr>
          <w:trHeight w:val="157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杨清</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男</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45</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副教授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工商管理</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周口师范学院</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工商管理</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广西民族大学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在美的集团、北海港股份有限公司工作</w:t>
            </w:r>
            <w:r>
              <w:rPr>
                <w:rFonts w:hint="eastAsia" w:ascii="仿宋" w:hAnsi="仿宋" w:eastAsia="仿宋" w:cs="宋体"/>
                <w:color w:val="000000"/>
                <w:sz w:val="24"/>
                <w:szCs w:val="24"/>
              </w:rPr>
              <w:t>3</w:t>
            </w:r>
            <w:r>
              <w:rPr>
                <w:rFonts w:hint="eastAsia" w:ascii="仿宋" w:hAnsi="仿宋" w:eastAsia="仿宋" w:cs="微软雅黑"/>
                <w:color w:val="000000"/>
                <w:sz w:val="24"/>
                <w:szCs w:val="24"/>
              </w:rPr>
              <w:t>年</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财政学</w:t>
            </w: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兼职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市场营销，金融工程</w:t>
            </w:r>
          </w:p>
        </w:tc>
      </w:tr>
      <w:tr>
        <w:tblPrEx>
          <w:tblLayout w:type="fixed"/>
          <w:tblCellMar>
            <w:top w:w="0" w:type="dxa"/>
            <w:left w:w="108" w:type="dxa"/>
            <w:bottom w:w="0" w:type="dxa"/>
            <w:right w:w="108" w:type="dxa"/>
          </w:tblCellMar>
        </w:tblPrEx>
        <w:trPr>
          <w:trHeight w:val="157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卢启金</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48</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高级讲师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农业大学</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2012</w:t>
            </w:r>
            <w:r>
              <w:rPr>
                <w:rFonts w:hint="eastAsia" w:ascii="仿宋" w:hAnsi="仿宋" w:eastAsia="仿宋" w:cs="微软雅黑"/>
                <w:color w:val="000000"/>
                <w:sz w:val="24"/>
                <w:szCs w:val="24"/>
              </w:rPr>
              <w:t>年</w:t>
            </w:r>
            <w:r>
              <w:rPr>
                <w:rFonts w:hint="eastAsia" w:ascii="仿宋" w:hAnsi="仿宋" w:eastAsia="仿宋" w:cs="宋体"/>
                <w:color w:val="000000"/>
                <w:sz w:val="24"/>
                <w:szCs w:val="24"/>
              </w:rPr>
              <w:t>9</w:t>
            </w:r>
            <w:r>
              <w:rPr>
                <w:rFonts w:hint="eastAsia" w:ascii="仿宋" w:hAnsi="仿宋" w:eastAsia="仿宋" w:cs="微软雅黑"/>
                <w:color w:val="000000"/>
                <w:sz w:val="24"/>
                <w:szCs w:val="24"/>
              </w:rPr>
              <w:t>月</w:t>
            </w:r>
            <w:r>
              <w:rPr>
                <w:rFonts w:hint="eastAsia" w:ascii="仿宋" w:hAnsi="仿宋" w:eastAsia="仿宋" w:cs="宋体"/>
                <w:color w:val="000000"/>
                <w:sz w:val="24"/>
                <w:szCs w:val="24"/>
              </w:rPr>
              <w:t>-</w:t>
            </w:r>
            <w:r>
              <w:rPr>
                <w:rFonts w:hint="eastAsia" w:ascii="仿宋" w:hAnsi="仿宋" w:eastAsia="仿宋" w:cs="微软雅黑"/>
                <w:color w:val="000000"/>
                <w:sz w:val="24"/>
                <w:szCs w:val="24"/>
              </w:rPr>
              <w:t>至今</w:t>
            </w:r>
            <w:r>
              <w:rPr>
                <w:rFonts w:hint="eastAsia" w:ascii="仿宋" w:hAnsi="仿宋" w:eastAsia="仿宋" w:cs="宋体"/>
                <w:color w:val="000000"/>
                <w:sz w:val="24"/>
                <w:szCs w:val="24"/>
              </w:rPr>
              <w:t xml:space="preserve"> </w:t>
            </w:r>
            <w:r>
              <w:rPr>
                <w:rFonts w:hint="eastAsia" w:ascii="仿宋" w:hAnsi="仿宋" w:eastAsia="仿宋" w:cs="微软雅黑"/>
                <w:color w:val="000000"/>
                <w:sz w:val="24"/>
                <w:szCs w:val="24"/>
              </w:rPr>
              <w:t>广西职业技术学院，专任教师</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会计电算化</w:t>
            </w: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统计学原理，成本会计</w:t>
            </w: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会计信息系统，会计电算化</w:t>
            </w: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纳税申报实训，会计电算化，毕业论文指导</w:t>
            </w: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兼职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国际经济与贸易，金融工程</w:t>
            </w:r>
          </w:p>
        </w:tc>
      </w:tr>
      <w:tr>
        <w:tblPrEx>
          <w:tblLayout w:type="fixed"/>
          <w:tblCellMar>
            <w:top w:w="0" w:type="dxa"/>
            <w:left w:w="108" w:type="dxa"/>
            <w:bottom w:w="0" w:type="dxa"/>
            <w:right w:w="108" w:type="dxa"/>
          </w:tblCellMar>
        </w:tblPrEx>
        <w:trPr>
          <w:trHeight w:val="157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梁堃</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39</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副教授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企业管理</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广西大学</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企业管理</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证券投资实务</w:t>
            </w: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兼职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国际经济与贸易，市场营销</w:t>
            </w:r>
          </w:p>
        </w:tc>
      </w:tr>
      <w:tr>
        <w:tblPrEx>
          <w:tblLayout w:type="fixed"/>
          <w:tblCellMar>
            <w:top w:w="0" w:type="dxa"/>
            <w:left w:w="108" w:type="dxa"/>
            <w:bottom w:w="0" w:type="dxa"/>
            <w:right w:w="108" w:type="dxa"/>
          </w:tblCellMar>
        </w:tblPrEx>
        <w:trPr>
          <w:trHeight w:val="157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陆升军</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男</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56</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副教授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国民经济学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广西师范大学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西方经济学</w:t>
            </w: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兼职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国际经济与贸易</w:t>
            </w:r>
          </w:p>
        </w:tc>
      </w:tr>
      <w:tr>
        <w:tblPrEx>
          <w:tblLayout w:type="fixed"/>
          <w:tblCellMar>
            <w:top w:w="0" w:type="dxa"/>
            <w:left w:w="108" w:type="dxa"/>
            <w:bottom w:w="0" w:type="dxa"/>
            <w:right w:w="108" w:type="dxa"/>
          </w:tblCellMar>
        </w:tblPrEx>
        <w:trPr>
          <w:trHeight w:val="557"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吴立鸿</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44</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副教授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包装工程</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武汉工业学院</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管理学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桂林电子科技大学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2002.07</w:t>
            </w:r>
            <w:r>
              <w:rPr>
                <w:rFonts w:hint="eastAsia" w:ascii="仿宋" w:hAnsi="仿宋" w:eastAsia="仿宋" w:cs="微软雅黑"/>
                <w:color w:val="000000"/>
                <w:sz w:val="24"/>
                <w:szCs w:val="24"/>
              </w:rPr>
              <w:t>至今在广西职业技术学院担任专业教师</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企业战略管理</w:t>
            </w: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兼职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市场营销</w:t>
            </w:r>
          </w:p>
        </w:tc>
      </w:tr>
      <w:tr>
        <w:tblPrEx>
          <w:tblLayout w:type="fixed"/>
          <w:tblCellMar>
            <w:top w:w="0" w:type="dxa"/>
            <w:left w:w="108" w:type="dxa"/>
            <w:bottom w:w="0" w:type="dxa"/>
            <w:right w:w="108" w:type="dxa"/>
          </w:tblCellMar>
        </w:tblPrEx>
        <w:trPr>
          <w:trHeight w:val="1890"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韩海燕</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54</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副教授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交通运输管理</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重庆交通学院</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交通运输管理</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重庆交通学院</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1986年至今，在广西交通职业学院工作，担任过管理工程系系主任，设备处处长，管理工程系专职教师。</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人力资源管理</w:t>
            </w: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兼职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市场营销，国际经济与贸易</w:t>
            </w:r>
          </w:p>
        </w:tc>
      </w:tr>
      <w:tr>
        <w:tblPrEx>
          <w:tblLayout w:type="fixed"/>
          <w:tblCellMar>
            <w:top w:w="0" w:type="dxa"/>
            <w:left w:w="108" w:type="dxa"/>
            <w:bottom w:w="0" w:type="dxa"/>
            <w:right w:w="108" w:type="dxa"/>
          </w:tblCellMar>
        </w:tblPrEx>
        <w:trPr>
          <w:trHeight w:val="157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何昊</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40</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副教授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会计学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首都经济贸易大学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大学教师</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毕业论文指导</w:t>
            </w: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兼职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r>
      <w:tr>
        <w:tblPrEx>
          <w:tblLayout w:type="fixed"/>
          <w:tblCellMar>
            <w:top w:w="0" w:type="dxa"/>
            <w:left w:w="108" w:type="dxa"/>
            <w:bottom w:w="0" w:type="dxa"/>
            <w:right w:w="108" w:type="dxa"/>
          </w:tblCellMar>
        </w:tblPrEx>
        <w:trPr>
          <w:trHeight w:val="1890"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黄维干</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49</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副教授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金融学（金融会计方向）</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大学教师</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毕业论文指导</w:t>
            </w: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兼职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r>
      <w:tr>
        <w:tblPrEx>
          <w:tblLayout w:type="fixed"/>
          <w:tblCellMar>
            <w:top w:w="0" w:type="dxa"/>
            <w:left w:w="108" w:type="dxa"/>
            <w:bottom w:w="0" w:type="dxa"/>
            <w:right w:w="108" w:type="dxa"/>
          </w:tblCellMar>
        </w:tblPrEx>
        <w:trPr>
          <w:trHeight w:val="157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吴春璇</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40</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副教授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会计学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山东财经大学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大学教师</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毕业论文指导</w:t>
            </w: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兼职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r>
      <w:tr>
        <w:tblPrEx>
          <w:tblLayout w:type="fixed"/>
          <w:tblCellMar>
            <w:top w:w="0" w:type="dxa"/>
            <w:left w:w="108" w:type="dxa"/>
            <w:bottom w:w="0" w:type="dxa"/>
            <w:right w:w="108" w:type="dxa"/>
          </w:tblCellMar>
        </w:tblPrEx>
        <w:trPr>
          <w:trHeight w:val="983"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李德正</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男</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54</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副教授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对外经济贸易</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无</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广西大学梧州分校</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国际贸易学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无</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广西大学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1989.07-2006</w:t>
            </w:r>
            <w:r>
              <w:rPr>
                <w:rFonts w:hint="eastAsia" w:ascii="仿宋" w:hAnsi="仿宋" w:eastAsia="仿宋" w:cs="微软雅黑"/>
                <w:color w:val="000000"/>
                <w:sz w:val="24"/>
                <w:szCs w:val="24"/>
              </w:rPr>
              <w:t>．</w:t>
            </w:r>
            <w:r>
              <w:rPr>
                <w:rFonts w:hint="eastAsia" w:ascii="仿宋" w:hAnsi="仿宋" w:eastAsia="仿宋" w:cs="宋体"/>
                <w:color w:val="000000"/>
                <w:sz w:val="24"/>
                <w:szCs w:val="24"/>
              </w:rPr>
              <w:t>05</w:t>
            </w:r>
            <w:r>
              <w:rPr>
                <w:rFonts w:hint="eastAsia" w:ascii="仿宋" w:hAnsi="仿宋" w:eastAsia="仿宋" w:cs="微软雅黑"/>
                <w:color w:val="000000"/>
                <w:sz w:val="24"/>
                <w:szCs w:val="24"/>
              </w:rPr>
              <w:t>期间曾先后在广西珍珠公司、广西钦州地区土畜产品进出口公司、广西海珍品有限公司、法属波利尼西亚</w:t>
            </w:r>
            <w:r>
              <w:rPr>
                <w:rFonts w:hint="eastAsia" w:ascii="仿宋" w:hAnsi="仿宋" w:eastAsia="仿宋" w:cs="宋体"/>
                <w:color w:val="000000"/>
                <w:sz w:val="24"/>
                <w:szCs w:val="24"/>
              </w:rPr>
              <w:t>Hao</w:t>
            </w:r>
            <w:r>
              <w:rPr>
                <w:rFonts w:hint="eastAsia" w:ascii="仿宋" w:hAnsi="仿宋" w:eastAsia="仿宋" w:cs="微软雅黑"/>
                <w:color w:val="000000"/>
                <w:sz w:val="24"/>
                <w:szCs w:val="24"/>
              </w:rPr>
              <w:t>岛黑珍珠公司、库克群岛黑珍珠公司等企业工作，曾经担任部门经理、企业负责人等职务</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实习指导</w:t>
            </w: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专职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国际经济与贸易，市场营销，金融工程</w:t>
            </w:r>
          </w:p>
        </w:tc>
      </w:tr>
      <w:tr>
        <w:tblPrEx>
          <w:tblLayout w:type="fixed"/>
          <w:tblCellMar>
            <w:top w:w="0" w:type="dxa"/>
            <w:left w:w="108" w:type="dxa"/>
            <w:bottom w:w="0" w:type="dxa"/>
            <w:right w:w="108" w:type="dxa"/>
          </w:tblCellMar>
        </w:tblPrEx>
        <w:trPr>
          <w:trHeight w:val="157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陈超惠</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48</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副教授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金融学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大学教师</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毕业论文指导</w:t>
            </w: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兼职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r>
      <w:tr>
        <w:tblPrEx>
          <w:tblLayout w:type="fixed"/>
          <w:tblCellMar>
            <w:top w:w="0" w:type="dxa"/>
            <w:left w:w="108" w:type="dxa"/>
            <w:bottom w:w="0" w:type="dxa"/>
            <w:right w:w="108" w:type="dxa"/>
          </w:tblCellMar>
        </w:tblPrEx>
        <w:trPr>
          <w:trHeight w:val="157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黄胤强</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男</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宋体"/>
                <w:color w:val="000000"/>
                <w:sz w:val="24"/>
                <w:szCs w:val="24"/>
              </w:rPr>
            </w:pPr>
            <w:r>
              <w:rPr>
                <w:rFonts w:hint="eastAsia" w:ascii="仿宋" w:hAnsi="仿宋" w:eastAsia="仿宋" w:cs="宋体"/>
                <w:color w:val="000000"/>
                <w:sz w:val="24"/>
                <w:szCs w:val="24"/>
              </w:rPr>
              <w:t>39</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副教授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会计学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华南理工大学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大学教师</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毕业论文指导</w:t>
            </w: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兼职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r>
      <w:tr>
        <w:tblPrEx>
          <w:tblLayout w:type="fixed"/>
          <w:tblCellMar>
            <w:top w:w="0" w:type="dxa"/>
            <w:left w:w="108" w:type="dxa"/>
            <w:bottom w:w="0" w:type="dxa"/>
            <w:right w:w="108" w:type="dxa"/>
          </w:tblCellMar>
        </w:tblPrEx>
        <w:trPr>
          <w:trHeight w:val="157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苏艺</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男</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宋体"/>
                <w:color w:val="000000"/>
                <w:sz w:val="24"/>
                <w:szCs w:val="24"/>
              </w:rPr>
            </w:pPr>
            <w:r>
              <w:rPr>
                <w:rFonts w:hint="eastAsia" w:ascii="仿宋" w:hAnsi="仿宋" w:eastAsia="仿宋" w:cs="宋体"/>
                <w:color w:val="000000"/>
                <w:sz w:val="24"/>
                <w:szCs w:val="24"/>
              </w:rPr>
              <w:t>40</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副教授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理财学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西南财经大学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大学教师</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毕业论文指导</w:t>
            </w: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兼职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r>
      <w:tr>
        <w:tblPrEx>
          <w:tblLayout w:type="fixed"/>
          <w:tblCellMar>
            <w:top w:w="0" w:type="dxa"/>
            <w:left w:w="108" w:type="dxa"/>
            <w:bottom w:w="0" w:type="dxa"/>
            <w:right w:w="108" w:type="dxa"/>
          </w:tblCellMar>
        </w:tblPrEx>
        <w:trPr>
          <w:trHeight w:val="157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王纯杰</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男</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宋体"/>
                <w:color w:val="000000"/>
                <w:sz w:val="24"/>
                <w:szCs w:val="24"/>
              </w:rPr>
            </w:pPr>
            <w:r>
              <w:rPr>
                <w:rFonts w:hint="eastAsia" w:ascii="仿宋" w:hAnsi="仿宋" w:eastAsia="仿宋" w:cs="宋体"/>
                <w:color w:val="000000"/>
                <w:sz w:val="24"/>
                <w:szCs w:val="24"/>
              </w:rPr>
              <w:t>39</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副教授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会计学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中南财经政法大学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大学教师</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毕业论文指导</w:t>
            </w: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兼职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r>
      <w:tr>
        <w:tblPrEx>
          <w:tblLayout w:type="fixed"/>
          <w:tblCellMar>
            <w:top w:w="0" w:type="dxa"/>
            <w:left w:w="108" w:type="dxa"/>
            <w:bottom w:w="0" w:type="dxa"/>
            <w:right w:w="108" w:type="dxa"/>
          </w:tblCellMar>
        </w:tblPrEx>
        <w:trPr>
          <w:trHeight w:val="2804"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刘忠萍</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32</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讲师、中级经济师、高级贸易师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信息管理与信息系统</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桂林理工大学</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企业管理</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桂林理工大学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2014</w:t>
            </w:r>
            <w:r>
              <w:rPr>
                <w:rFonts w:hint="eastAsia" w:ascii="仿宋" w:hAnsi="仿宋" w:eastAsia="仿宋" w:cs="微软雅黑"/>
                <w:color w:val="000000"/>
                <w:sz w:val="24"/>
                <w:szCs w:val="24"/>
              </w:rPr>
              <w:t>年</w:t>
            </w:r>
            <w:r>
              <w:rPr>
                <w:rFonts w:hint="eastAsia" w:ascii="仿宋" w:hAnsi="仿宋" w:eastAsia="仿宋" w:cs="宋体"/>
                <w:color w:val="000000"/>
                <w:sz w:val="24"/>
                <w:szCs w:val="24"/>
              </w:rPr>
              <w:t>9</w:t>
            </w:r>
            <w:r>
              <w:rPr>
                <w:rFonts w:hint="eastAsia" w:ascii="仿宋" w:hAnsi="仿宋" w:eastAsia="仿宋" w:cs="微软雅黑"/>
                <w:color w:val="000000"/>
                <w:sz w:val="24"/>
                <w:szCs w:val="24"/>
              </w:rPr>
              <w:t>月</w:t>
            </w:r>
            <w:r>
              <w:rPr>
                <w:rFonts w:hint="eastAsia" w:ascii="仿宋" w:hAnsi="仿宋" w:eastAsia="仿宋" w:cs="宋体"/>
                <w:color w:val="000000"/>
                <w:sz w:val="24"/>
                <w:szCs w:val="24"/>
              </w:rPr>
              <w:t>-</w:t>
            </w:r>
            <w:r>
              <w:rPr>
                <w:rFonts w:hint="eastAsia" w:ascii="仿宋" w:hAnsi="仿宋" w:eastAsia="仿宋" w:cs="微软雅黑"/>
                <w:color w:val="000000"/>
                <w:sz w:val="24"/>
                <w:szCs w:val="24"/>
              </w:rPr>
              <w:t>至今南宁师范学院师园学院</w:t>
            </w:r>
            <w:r>
              <w:rPr>
                <w:rFonts w:hint="eastAsia" w:ascii="仿宋" w:hAnsi="仿宋" w:eastAsia="仿宋" w:cs="宋体"/>
                <w:color w:val="000000"/>
                <w:sz w:val="24"/>
                <w:szCs w:val="24"/>
              </w:rPr>
              <w:t xml:space="preserve"> </w:t>
            </w:r>
            <w:r>
              <w:rPr>
                <w:rFonts w:hint="eastAsia" w:ascii="仿宋" w:hAnsi="仿宋" w:eastAsia="仿宋" w:cs="微软雅黑"/>
                <w:color w:val="000000"/>
                <w:sz w:val="24"/>
                <w:szCs w:val="24"/>
              </w:rPr>
              <w:t>专任教师</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西方经济学</w:t>
            </w: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西方经济学，企业资源计划（</w:t>
            </w:r>
            <w:r>
              <w:rPr>
                <w:rFonts w:hint="eastAsia" w:ascii="仿宋" w:hAnsi="仿宋" w:eastAsia="仿宋" w:cs="宋体"/>
                <w:color w:val="000000"/>
                <w:sz w:val="24"/>
                <w:szCs w:val="24"/>
              </w:rPr>
              <w:t>ERP</w:t>
            </w:r>
            <w:r>
              <w:rPr>
                <w:rFonts w:hint="eastAsia" w:ascii="仿宋" w:hAnsi="仿宋" w:eastAsia="仿宋" w:cs="微软雅黑"/>
                <w:color w:val="000000"/>
                <w:sz w:val="24"/>
                <w:szCs w:val="24"/>
              </w:rPr>
              <w:t>）</w:t>
            </w: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中国自由贸易协定概论</w:t>
            </w: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企业资源计划（</w:t>
            </w:r>
            <w:r>
              <w:rPr>
                <w:rFonts w:hint="eastAsia" w:ascii="仿宋" w:hAnsi="仿宋" w:eastAsia="仿宋" w:cs="宋体"/>
                <w:color w:val="000000"/>
                <w:sz w:val="24"/>
                <w:szCs w:val="24"/>
              </w:rPr>
              <w:t>ERP</w:t>
            </w:r>
            <w:r>
              <w:rPr>
                <w:rFonts w:hint="eastAsia" w:ascii="仿宋" w:hAnsi="仿宋" w:eastAsia="仿宋" w:cs="微软雅黑"/>
                <w:color w:val="000000"/>
                <w:sz w:val="24"/>
                <w:szCs w:val="24"/>
              </w:rPr>
              <w:t>），西方经济学</w:t>
            </w: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专职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国际经济与贸易，市场营销，金融工程</w:t>
            </w:r>
          </w:p>
        </w:tc>
      </w:tr>
      <w:tr>
        <w:tblPrEx>
          <w:tblLayout w:type="fixed"/>
          <w:tblCellMar>
            <w:top w:w="0" w:type="dxa"/>
            <w:left w:w="108" w:type="dxa"/>
            <w:bottom w:w="0" w:type="dxa"/>
            <w:right w:w="108" w:type="dxa"/>
          </w:tblCellMar>
        </w:tblPrEx>
        <w:trPr>
          <w:trHeight w:val="157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李昀</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38</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中级会计师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经管系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审计</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无</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广西财院</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无</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2007-2014</w:t>
            </w:r>
            <w:r>
              <w:rPr>
                <w:rFonts w:hint="eastAsia" w:ascii="仿宋" w:hAnsi="仿宋" w:eastAsia="仿宋" w:cs="微软雅黑"/>
                <w:color w:val="000000"/>
                <w:sz w:val="24"/>
                <w:szCs w:val="24"/>
              </w:rPr>
              <w:t>期间担任上海某上市公司财务主管</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国际会计</w:t>
            </w: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专职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无</w:t>
            </w:r>
          </w:p>
        </w:tc>
      </w:tr>
      <w:tr>
        <w:tblPrEx>
          <w:tblLayout w:type="fixed"/>
          <w:tblCellMar>
            <w:top w:w="0" w:type="dxa"/>
            <w:left w:w="108" w:type="dxa"/>
            <w:bottom w:w="0" w:type="dxa"/>
            <w:right w:w="108" w:type="dxa"/>
          </w:tblCellMar>
        </w:tblPrEx>
        <w:trPr>
          <w:trHeight w:val="3780"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王珍珍</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34</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讲师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工商管理（技术经济方向）</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广西大学商学院</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金融学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广西大学商学院</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1</w:t>
            </w:r>
            <w:r>
              <w:rPr>
                <w:rFonts w:hint="eastAsia" w:ascii="仿宋" w:hAnsi="仿宋" w:eastAsia="仿宋" w:cs="微软雅黑"/>
                <w:color w:val="000000"/>
                <w:sz w:val="24"/>
                <w:szCs w:val="24"/>
              </w:rPr>
              <w:t>、</w:t>
            </w:r>
            <w:r>
              <w:rPr>
                <w:rFonts w:hint="eastAsia" w:ascii="仿宋" w:hAnsi="仿宋" w:eastAsia="仿宋" w:cs="宋体"/>
                <w:color w:val="000000"/>
                <w:sz w:val="24"/>
                <w:szCs w:val="24"/>
              </w:rPr>
              <w:t>2011</w:t>
            </w:r>
            <w:r>
              <w:rPr>
                <w:rFonts w:hint="eastAsia" w:ascii="仿宋" w:hAnsi="仿宋" w:eastAsia="仿宋" w:cs="微软雅黑"/>
                <w:color w:val="000000"/>
                <w:sz w:val="24"/>
                <w:szCs w:val="24"/>
              </w:rPr>
              <w:t>年</w:t>
            </w:r>
            <w:r>
              <w:rPr>
                <w:rFonts w:hint="eastAsia" w:ascii="仿宋" w:hAnsi="仿宋" w:eastAsia="仿宋" w:cs="宋体"/>
                <w:color w:val="000000"/>
                <w:sz w:val="24"/>
                <w:szCs w:val="24"/>
              </w:rPr>
              <w:t>7</w:t>
            </w:r>
            <w:r>
              <w:rPr>
                <w:rFonts w:hint="eastAsia" w:ascii="仿宋" w:hAnsi="仿宋" w:eastAsia="仿宋" w:cs="微软雅黑"/>
                <w:color w:val="000000"/>
                <w:sz w:val="24"/>
                <w:szCs w:val="24"/>
              </w:rPr>
              <w:t>月</w:t>
            </w:r>
            <w:r>
              <w:rPr>
                <w:rFonts w:hint="eastAsia" w:ascii="仿宋" w:hAnsi="仿宋" w:eastAsia="仿宋" w:cs="宋体"/>
                <w:color w:val="000000"/>
                <w:sz w:val="24"/>
                <w:szCs w:val="24"/>
              </w:rPr>
              <w:t>-2012</w:t>
            </w:r>
            <w:r>
              <w:rPr>
                <w:rFonts w:hint="eastAsia" w:ascii="仿宋" w:hAnsi="仿宋" w:eastAsia="仿宋" w:cs="微软雅黑"/>
                <w:color w:val="000000"/>
                <w:sz w:val="24"/>
                <w:szCs w:val="24"/>
              </w:rPr>
              <w:t>年</w:t>
            </w:r>
            <w:r>
              <w:rPr>
                <w:rFonts w:hint="eastAsia" w:ascii="仿宋" w:hAnsi="仿宋" w:eastAsia="仿宋" w:cs="宋体"/>
                <w:color w:val="000000"/>
                <w:sz w:val="24"/>
                <w:szCs w:val="24"/>
              </w:rPr>
              <w:t>6</w:t>
            </w:r>
            <w:r>
              <w:rPr>
                <w:rFonts w:hint="eastAsia" w:ascii="仿宋" w:hAnsi="仿宋" w:eastAsia="仿宋" w:cs="微软雅黑"/>
                <w:color w:val="000000"/>
                <w:sz w:val="24"/>
                <w:szCs w:val="24"/>
              </w:rPr>
              <w:t>月，就职于中国人民银行崇左市中心支行</w:t>
            </w:r>
            <w:r>
              <w:rPr>
                <w:rFonts w:hint="eastAsia" w:ascii="仿宋" w:hAnsi="仿宋" w:eastAsia="仿宋" w:cs="宋体"/>
                <w:color w:val="000000"/>
                <w:sz w:val="24"/>
                <w:szCs w:val="24"/>
              </w:rPr>
              <w:br w:type="textWrapping"/>
            </w:r>
            <w:r>
              <w:rPr>
                <w:rFonts w:hint="eastAsia" w:ascii="仿宋" w:hAnsi="仿宋" w:eastAsia="仿宋" w:cs="宋体"/>
                <w:color w:val="000000"/>
                <w:sz w:val="24"/>
                <w:szCs w:val="24"/>
              </w:rPr>
              <w:t>2</w:t>
            </w:r>
            <w:r>
              <w:rPr>
                <w:rFonts w:hint="eastAsia" w:ascii="仿宋" w:hAnsi="仿宋" w:eastAsia="仿宋" w:cs="微软雅黑"/>
                <w:color w:val="000000"/>
                <w:sz w:val="24"/>
                <w:szCs w:val="24"/>
              </w:rPr>
              <w:t>、</w:t>
            </w:r>
            <w:r>
              <w:rPr>
                <w:rFonts w:hint="eastAsia" w:ascii="仿宋" w:hAnsi="仿宋" w:eastAsia="仿宋" w:cs="宋体"/>
                <w:color w:val="000000"/>
                <w:sz w:val="24"/>
                <w:szCs w:val="24"/>
              </w:rPr>
              <w:t>2012</w:t>
            </w:r>
            <w:r>
              <w:rPr>
                <w:rFonts w:hint="eastAsia" w:ascii="仿宋" w:hAnsi="仿宋" w:eastAsia="仿宋" w:cs="微软雅黑"/>
                <w:color w:val="000000"/>
                <w:sz w:val="24"/>
                <w:szCs w:val="24"/>
              </w:rPr>
              <w:t>年</w:t>
            </w:r>
            <w:r>
              <w:rPr>
                <w:rFonts w:hint="eastAsia" w:ascii="仿宋" w:hAnsi="仿宋" w:eastAsia="仿宋" w:cs="宋体"/>
                <w:color w:val="000000"/>
                <w:sz w:val="24"/>
                <w:szCs w:val="24"/>
              </w:rPr>
              <w:t>8</w:t>
            </w:r>
            <w:r>
              <w:rPr>
                <w:rFonts w:hint="eastAsia" w:ascii="仿宋" w:hAnsi="仿宋" w:eastAsia="仿宋" w:cs="微软雅黑"/>
                <w:color w:val="000000"/>
                <w:sz w:val="24"/>
                <w:szCs w:val="24"/>
              </w:rPr>
              <w:t>月</w:t>
            </w:r>
            <w:r>
              <w:rPr>
                <w:rFonts w:hint="eastAsia" w:ascii="仿宋" w:hAnsi="仿宋" w:eastAsia="仿宋" w:cs="宋体"/>
                <w:color w:val="000000"/>
                <w:sz w:val="24"/>
                <w:szCs w:val="24"/>
              </w:rPr>
              <w:t>-2018</w:t>
            </w:r>
            <w:r>
              <w:rPr>
                <w:rFonts w:hint="eastAsia" w:ascii="仿宋" w:hAnsi="仿宋" w:eastAsia="仿宋" w:cs="微软雅黑"/>
                <w:color w:val="000000"/>
                <w:sz w:val="24"/>
                <w:szCs w:val="24"/>
              </w:rPr>
              <w:t>年</w:t>
            </w:r>
            <w:r>
              <w:rPr>
                <w:rFonts w:hint="eastAsia" w:ascii="仿宋" w:hAnsi="仿宋" w:eastAsia="仿宋" w:cs="宋体"/>
                <w:color w:val="000000"/>
                <w:sz w:val="24"/>
                <w:szCs w:val="24"/>
              </w:rPr>
              <w:t>8</w:t>
            </w:r>
            <w:r>
              <w:rPr>
                <w:rFonts w:hint="eastAsia" w:ascii="仿宋" w:hAnsi="仿宋" w:eastAsia="仿宋" w:cs="微软雅黑"/>
                <w:color w:val="000000"/>
                <w:sz w:val="24"/>
                <w:szCs w:val="24"/>
              </w:rPr>
              <w:t>月，就职于南宁师范大学师园学院</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管理学原理</w:t>
            </w: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金融学</w:t>
            </w: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毕业论文指导</w:t>
            </w: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专职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国际经济与贸易</w:t>
            </w:r>
          </w:p>
        </w:tc>
      </w:tr>
      <w:tr>
        <w:tblPrEx>
          <w:tblLayout w:type="fixed"/>
          <w:tblCellMar>
            <w:top w:w="0" w:type="dxa"/>
            <w:left w:w="108" w:type="dxa"/>
            <w:bottom w:w="0" w:type="dxa"/>
            <w:right w:w="108" w:type="dxa"/>
          </w:tblCellMar>
        </w:tblPrEx>
        <w:trPr>
          <w:trHeight w:val="157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杨胜花</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36</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讲师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英语</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外国语学院</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行政管理</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公共管理学院</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2010</w:t>
            </w:r>
            <w:r>
              <w:rPr>
                <w:rFonts w:hint="eastAsia" w:ascii="仿宋" w:hAnsi="仿宋" w:eastAsia="仿宋" w:cs="微软雅黑"/>
                <w:color w:val="000000"/>
                <w:sz w:val="24"/>
                <w:szCs w:val="24"/>
              </w:rPr>
              <w:t>年</w:t>
            </w:r>
            <w:r>
              <w:rPr>
                <w:rFonts w:hint="eastAsia" w:ascii="仿宋" w:hAnsi="仿宋" w:eastAsia="仿宋" w:cs="宋体"/>
                <w:color w:val="000000"/>
                <w:sz w:val="24"/>
                <w:szCs w:val="24"/>
              </w:rPr>
              <w:t>9</w:t>
            </w:r>
            <w:r>
              <w:rPr>
                <w:rFonts w:hint="eastAsia" w:ascii="仿宋" w:hAnsi="仿宋" w:eastAsia="仿宋" w:cs="微软雅黑"/>
                <w:color w:val="000000"/>
                <w:sz w:val="24"/>
                <w:szCs w:val="24"/>
              </w:rPr>
              <w:t>月</w:t>
            </w:r>
            <w:r>
              <w:rPr>
                <w:rFonts w:hint="eastAsia" w:ascii="仿宋" w:hAnsi="仿宋" w:eastAsia="仿宋" w:cs="宋体"/>
                <w:color w:val="000000"/>
                <w:sz w:val="24"/>
                <w:szCs w:val="24"/>
              </w:rPr>
              <w:t>-2019</w:t>
            </w:r>
            <w:r>
              <w:rPr>
                <w:rFonts w:hint="eastAsia" w:ascii="仿宋" w:hAnsi="仿宋" w:eastAsia="仿宋" w:cs="微软雅黑"/>
                <w:color w:val="000000"/>
                <w:sz w:val="24"/>
                <w:szCs w:val="24"/>
              </w:rPr>
              <w:t>年</w:t>
            </w:r>
            <w:r>
              <w:rPr>
                <w:rFonts w:hint="eastAsia" w:ascii="仿宋" w:hAnsi="仿宋" w:eastAsia="仿宋" w:cs="宋体"/>
                <w:color w:val="000000"/>
                <w:sz w:val="24"/>
                <w:szCs w:val="24"/>
              </w:rPr>
              <w:t>7</w:t>
            </w:r>
            <w:r>
              <w:rPr>
                <w:rFonts w:hint="eastAsia" w:ascii="仿宋" w:hAnsi="仿宋" w:eastAsia="仿宋" w:cs="微软雅黑"/>
                <w:color w:val="000000"/>
                <w:sz w:val="24"/>
                <w:szCs w:val="24"/>
              </w:rPr>
              <w:t>月</w:t>
            </w:r>
            <w:r>
              <w:rPr>
                <w:rFonts w:hint="eastAsia" w:ascii="仿宋" w:hAnsi="仿宋" w:eastAsia="仿宋" w:cs="宋体"/>
                <w:color w:val="000000"/>
                <w:sz w:val="24"/>
                <w:szCs w:val="24"/>
              </w:rPr>
              <w:t xml:space="preserve"> </w:t>
            </w:r>
            <w:r>
              <w:rPr>
                <w:rFonts w:hint="eastAsia" w:ascii="仿宋" w:hAnsi="仿宋" w:eastAsia="仿宋" w:cs="微软雅黑"/>
                <w:color w:val="000000"/>
                <w:sz w:val="24"/>
                <w:szCs w:val="24"/>
              </w:rPr>
              <w:t>就职于南宁师范大学师园学院</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管理学原理</w:t>
            </w: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管理学原理</w:t>
            </w: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专职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r>
      <w:tr>
        <w:tblPrEx>
          <w:tblLayout w:type="fixed"/>
          <w:tblCellMar>
            <w:top w:w="0" w:type="dxa"/>
            <w:left w:w="108" w:type="dxa"/>
            <w:bottom w:w="0" w:type="dxa"/>
            <w:right w:w="108" w:type="dxa"/>
          </w:tblCellMar>
        </w:tblPrEx>
        <w:trPr>
          <w:trHeight w:val="416"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全桂华</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男</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48</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讲师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工业管理工程</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中南大学</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技术经济及管理</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中南大学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曾在汽车、服装行业管理工作，现为广西职业技术学院专职教师</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资产评估</w:t>
            </w: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兼职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无</w:t>
            </w:r>
          </w:p>
        </w:tc>
      </w:tr>
      <w:tr>
        <w:tblPrEx>
          <w:tblLayout w:type="fixed"/>
          <w:tblCellMar>
            <w:top w:w="0" w:type="dxa"/>
            <w:left w:w="108" w:type="dxa"/>
            <w:bottom w:w="0" w:type="dxa"/>
            <w:right w:w="108" w:type="dxa"/>
          </w:tblCellMar>
        </w:tblPrEx>
        <w:trPr>
          <w:trHeight w:val="157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骆柳毅</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男</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44</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讲师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国际贸易专业</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广东外语外贸大学</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教育管理</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海南师范大学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广西交通职业技术学院专任教师</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组织行为学</w:t>
            </w: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专职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国际经济与贸易，市场营销</w:t>
            </w:r>
          </w:p>
        </w:tc>
      </w:tr>
      <w:tr>
        <w:tblPrEx>
          <w:tblLayout w:type="fixed"/>
          <w:tblCellMar>
            <w:top w:w="0" w:type="dxa"/>
            <w:left w:w="108" w:type="dxa"/>
            <w:bottom w:w="0" w:type="dxa"/>
            <w:right w:w="108" w:type="dxa"/>
          </w:tblCellMar>
        </w:tblPrEx>
        <w:trPr>
          <w:trHeight w:val="90"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韩大涛</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男</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40</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讲师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计算机科学技术</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北方工业大学</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工商管理（金融与投融资方向）</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2011</w:t>
            </w:r>
            <w:r>
              <w:rPr>
                <w:rFonts w:hint="eastAsia" w:ascii="仿宋" w:hAnsi="仿宋" w:eastAsia="仿宋" w:cs="微软雅黑"/>
                <w:color w:val="000000"/>
                <w:sz w:val="24"/>
                <w:szCs w:val="24"/>
              </w:rPr>
              <w:t>年</w:t>
            </w:r>
            <w:r>
              <w:rPr>
                <w:rFonts w:hint="eastAsia" w:ascii="仿宋" w:hAnsi="仿宋" w:eastAsia="仿宋" w:cs="宋体"/>
                <w:color w:val="000000"/>
                <w:sz w:val="24"/>
                <w:szCs w:val="24"/>
              </w:rPr>
              <w:t>9</w:t>
            </w:r>
            <w:r>
              <w:rPr>
                <w:rFonts w:hint="eastAsia" w:ascii="仿宋" w:hAnsi="仿宋" w:eastAsia="仿宋" w:cs="微软雅黑"/>
                <w:color w:val="000000"/>
                <w:sz w:val="24"/>
                <w:szCs w:val="24"/>
              </w:rPr>
              <w:t>月进入南宁职业技术学院任教，</w:t>
            </w:r>
            <w:r>
              <w:rPr>
                <w:rFonts w:hint="eastAsia" w:ascii="仿宋" w:hAnsi="仿宋" w:eastAsia="仿宋" w:cs="宋体"/>
                <w:color w:val="000000"/>
                <w:sz w:val="24"/>
                <w:szCs w:val="24"/>
              </w:rPr>
              <w:t>2018</w:t>
            </w:r>
            <w:r>
              <w:rPr>
                <w:rFonts w:hint="eastAsia" w:ascii="仿宋" w:hAnsi="仿宋" w:eastAsia="仿宋" w:cs="微软雅黑"/>
                <w:color w:val="000000"/>
                <w:sz w:val="24"/>
                <w:szCs w:val="24"/>
              </w:rPr>
              <w:t>年</w:t>
            </w:r>
            <w:r>
              <w:rPr>
                <w:rFonts w:hint="eastAsia" w:ascii="仿宋" w:hAnsi="仿宋" w:eastAsia="仿宋" w:cs="宋体"/>
                <w:color w:val="000000"/>
                <w:sz w:val="24"/>
                <w:szCs w:val="24"/>
              </w:rPr>
              <w:t>5</w:t>
            </w:r>
            <w:r>
              <w:rPr>
                <w:rFonts w:hint="eastAsia" w:ascii="仿宋" w:hAnsi="仿宋" w:eastAsia="仿宋" w:cs="微软雅黑"/>
                <w:color w:val="000000"/>
                <w:sz w:val="24"/>
                <w:szCs w:val="24"/>
              </w:rPr>
              <w:t>月至今在广西中之美投资有限公司董事长兼总经理</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公司理财</w:t>
            </w: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兼职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金融工程</w:t>
            </w:r>
          </w:p>
        </w:tc>
      </w:tr>
      <w:tr>
        <w:tblPrEx>
          <w:tblLayout w:type="fixed"/>
          <w:tblCellMar>
            <w:top w:w="0" w:type="dxa"/>
            <w:left w:w="108" w:type="dxa"/>
            <w:bottom w:w="0" w:type="dxa"/>
            <w:right w:w="108" w:type="dxa"/>
          </w:tblCellMar>
        </w:tblPrEx>
        <w:trPr>
          <w:trHeight w:val="416"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钟明容</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32</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讲师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国际经济与贸易</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学士学位</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长春理工大学</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法律</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武汉大学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2013</w:t>
            </w:r>
            <w:r>
              <w:rPr>
                <w:rFonts w:hint="eastAsia" w:ascii="仿宋" w:hAnsi="仿宋" w:eastAsia="仿宋" w:cs="微软雅黑"/>
                <w:color w:val="000000"/>
                <w:sz w:val="24"/>
                <w:szCs w:val="24"/>
              </w:rPr>
              <w:t>年</w:t>
            </w:r>
            <w:r>
              <w:rPr>
                <w:rFonts w:hint="eastAsia" w:ascii="仿宋" w:hAnsi="仿宋" w:eastAsia="仿宋" w:cs="宋体"/>
                <w:color w:val="000000"/>
                <w:sz w:val="24"/>
                <w:szCs w:val="24"/>
              </w:rPr>
              <w:t>-</w:t>
            </w:r>
            <w:r>
              <w:rPr>
                <w:rFonts w:hint="eastAsia" w:ascii="仿宋" w:hAnsi="仿宋" w:eastAsia="仿宋" w:cs="微软雅黑"/>
                <w:color w:val="000000"/>
                <w:sz w:val="24"/>
                <w:szCs w:val="24"/>
              </w:rPr>
              <w:t>至今南宁师范学院师园学院，经管系专任教师</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财经法规与会计职业道德，经济法</w:t>
            </w: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财经法规与会计职业道德，税法，经济法</w:t>
            </w: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财政学，经济法</w:t>
            </w: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专职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国际经济与贸易，市场营销，金融工程，</w:t>
            </w:r>
          </w:p>
        </w:tc>
      </w:tr>
      <w:tr>
        <w:tblPrEx>
          <w:tblLayout w:type="fixed"/>
          <w:tblCellMar>
            <w:top w:w="0" w:type="dxa"/>
            <w:left w:w="108" w:type="dxa"/>
            <w:bottom w:w="0" w:type="dxa"/>
            <w:right w:w="108" w:type="dxa"/>
          </w:tblCellMar>
        </w:tblPrEx>
        <w:trPr>
          <w:trHeight w:val="1890"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黄江美</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47</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讲师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企业管理</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广西师院</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教育经济与管理</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2014</w:t>
            </w:r>
            <w:r>
              <w:rPr>
                <w:rFonts w:hint="eastAsia" w:ascii="仿宋" w:hAnsi="仿宋" w:eastAsia="仿宋" w:cs="微软雅黑"/>
                <w:color w:val="000000"/>
                <w:sz w:val="24"/>
                <w:szCs w:val="24"/>
              </w:rPr>
              <w:t>年</w:t>
            </w:r>
            <w:r>
              <w:rPr>
                <w:rFonts w:hint="eastAsia" w:ascii="仿宋" w:hAnsi="仿宋" w:eastAsia="仿宋" w:cs="宋体"/>
                <w:color w:val="000000"/>
                <w:sz w:val="24"/>
                <w:szCs w:val="24"/>
              </w:rPr>
              <w:t>9</w:t>
            </w:r>
            <w:r>
              <w:rPr>
                <w:rFonts w:hint="eastAsia" w:ascii="仿宋" w:hAnsi="仿宋" w:eastAsia="仿宋" w:cs="微软雅黑"/>
                <w:color w:val="000000"/>
                <w:sz w:val="24"/>
                <w:szCs w:val="24"/>
              </w:rPr>
              <w:t>月</w:t>
            </w:r>
            <w:r>
              <w:rPr>
                <w:rFonts w:hint="eastAsia" w:ascii="仿宋" w:hAnsi="仿宋" w:eastAsia="仿宋" w:cs="宋体"/>
                <w:color w:val="000000"/>
                <w:sz w:val="24"/>
                <w:szCs w:val="24"/>
              </w:rPr>
              <w:t>-</w:t>
            </w:r>
            <w:r>
              <w:rPr>
                <w:rFonts w:hint="eastAsia" w:ascii="仿宋" w:hAnsi="仿宋" w:eastAsia="仿宋" w:cs="微软雅黑"/>
                <w:color w:val="000000"/>
                <w:sz w:val="24"/>
                <w:szCs w:val="24"/>
              </w:rPr>
              <w:t>至今南宁师范学院师园学院，经管系专任教师</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市场营销学</w:t>
            </w: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市场营销学，管理学</w:t>
            </w: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专职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国际经济与贸易，市场营销，金融工程</w:t>
            </w:r>
          </w:p>
        </w:tc>
      </w:tr>
      <w:tr>
        <w:tblPrEx>
          <w:tblLayout w:type="fixed"/>
          <w:tblCellMar>
            <w:top w:w="0" w:type="dxa"/>
            <w:left w:w="108" w:type="dxa"/>
            <w:bottom w:w="0" w:type="dxa"/>
            <w:right w:w="108" w:type="dxa"/>
          </w:tblCellMar>
        </w:tblPrEx>
        <w:trPr>
          <w:trHeight w:val="1890"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徐瑜</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37</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中级经济师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金融学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本科</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哈尔滨工程大学</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金融学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1</w:t>
            </w:r>
            <w:r>
              <w:rPr>
                <w:rFonts w:hint="eastAsia" w:ascii="仿宋" w:hAnsi="仿宋" w:eastAsia="仿宋" w:cs="微软雅黑"/>
                <w:color w:val="000000"/>
                <w:sz w:val="24"/>
                <w:szCs w:val="24"/>
              </w:rPr>
              <w:t>、</w:t>
            </w:r>
            <w:r>
              <w:rPr>
                <w:rFonts w:hint="eastAsia" w:ascii="仿宋" w:hAnsi="仿宋" w:eastAsia="仿宋" w:cs="宋体"/>
                <w:color w:val="000000"/>
                <w:sz w:val="24"/>
                <w:szCs w:val="24"/>
              </w:rPr>
              <w:t>2012</w:t>
            </w:r>
            <w:r>
              <w:rPr>
                <w:rFonts w:hint="eastAsia" w:ascii="仿宋" w:hAnsi="仿宋" w:eastAsia="仿宋" w:cs="微软雅黑"/>
                <w:color w:val="000000"/>
                <w:sz w:val="24"/>
                <w:szCs w:val="24"/>
              </w:rPr>
              <w:t>年</w:t>
            </w:r>
            <w:r>
              <w:rPr>
                <w:rFonts w:hint="eastAsia" w:ascii="仿宋" w:hAnsi="仿宋" w:eastAsia="仿宋" w:cs="宋体"/>
                <w:color w:val="000000"/>
                <w:sz w:val="24"/>
                <w:szCs w:val="24"/>
              </w:rPr>
              <w:t>-2008</w:t>
            </w:r>
            <w:r>
              <w:rPr>
                <w:rFonts w:hint="eastAsia" w:ascii="仿宋" w:hAnsi="仿宋" w:eastAsia="仿宋" w:cs="微软雅黑"/>
                <w:color w:val="000000"/>
                <w:sz w:val="24"/>
                <w:szCs w:val="24"/>
              </w:rPr>
              <w:t>年在中投证券工作</w:t>
            </w:r>
            <w:r>
              <w:rPr>
                <w:rFonts w:hint="eastAsia" w:ascii="仿宋" w:hAnsi="仿宋" w:eastAsia="仿宋" w:cs="宋体"/>
                <w:color w:val="000000"/>
                <w:sz w:val="24"/>
                <w:szCs w:val="24"/>
              </w:rPr>
              <w:br w:type="textWrapping"/>
            </w:r>
            <w:r>
              <w:rPr>
                <w:rFonts w:hint="eastAsia" w:ascii="仿宋" w:hAnsi="仿宋" w:eastAsia="仿宋" w:cs="宋体"/>
                <w:color w:val="000000"/>
                <w:sz w:val="24"/>
                <w:szCs w:val="24"/>
              </w:rPr>
              <w:t>2</w:t>
            </w:r>
            <w:r>
              <w:rPr>
                <w:rFonts w:hint="eastAsia" w:ascii="仿宋" w:hAnsi="仿宋" w:eastAsia="仿宋" w:cs="微软雅黑"/>
                <w:color w:val="000000"/>
                <w:sz w:val="24"/>
                <w:szCs w:val="24"/>
              </w:rPr>
              <w:t>、</w:t>
            </w:r>
            <w:r>
              <w:rPr>
                <w:rFonts w:hint="eastAsia" w:ascii="仿宋" w:hAnsi="仿宋" w:eastAsia="仿宋" w:cs="宋体"/>
                <w:color w:val="000000"/>
                <w:sz w:val="24"/>
                <w:szCs w:val="24"/>
              </w:rPr>
              <w:t>2018</w:t>
            </w:r>
            <w:r>
              <w:rPr>
                <w:rFonts w:hint="eastAsia" w:ascii="仿宋" w:hAnsi="仿宋" w:eastAsia="仿宋" w:cs="微软雅黑"/>
                <w:color w:val="000000"/>
                <w:sz w:val="24"/>
                <w:szCs w:val="24"/>
              </w:rPr>
              <w:t>年</w:t>
            </w:r>
            <w:r>
              <w:rPr>
                <w:rFonts w:hint="eastAsia" w:ascii="仿宋" w:hAnsi="仿宋" w:eastAsia="仿宋" w:cs="宋体"/>
                <w:color w:val="000000"/>
                <w:sz w:val="24"/>
                <w:szCs w:val="24"/>
              </w:rPr>
              <w:t>-</w:t>
            </w:r>
            <w:r>
              <w:rPr>
                <w:rFonts w:hint="eastAsia" w:ascii="仿宋" w:hAnsi="仿宋" w:eastAsia="仿宋" w:cs="微软雅黑"/>
                <w:color w:val="000000"/>
                <w:sz w:val="24"/>
                <w:szCs w:val="24"/>
              </w:rPr>
              <w:t>至今南宁师范学院师园学院，经管系专任教师</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金融学</w:t>
            </w: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金融学，证券投资实务</w:t>
            </w: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专职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国际经济与贸易，市场营销，金融工程</w:t>
            </w:r>
          </w:p>
        </w:tc>
      </w:tr>
      <w:tr>
        <w:tblPrEx>
          <w:tblLayout w:type="fixed"/>
          <w:tblCellMar>
            <w:top w:w="0" w:type="dxa"/>
            <w:left w:w="108" w:type="dxa"/>
            <w:bottom w:w="0" w:type="dxa"/>
            <w:right w:w="108" w:type="dxa"/>
          </w:tblCellMar>
        </w:tblPrEx>
        <w:trPr>
          <w:trHeight w:val="558"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陈露</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58</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讲师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重庆工商大学</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重庆工商大学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1980</w:t>
            </w:r>
            <w:r>
              <w:rPr>
                <w:rFonts w:hint="eastAsia" w:ascii="仿宋" w:hAnsi="仿宋" w:eastAsia="仿宋" w:cs="微软雅黑"/>
                <w:color w:val="000000"/>
                <w:sz w:val="24"/>
                <w:szCs w:val="24"/>
              </w:rPr>
              <w:t>年</w:t>
            </w:r>
            <w:r>
              <w:rPr>
                <w:rFonts w:hint="eastAsia" w:ascii="仿宋" w:hAnsi="仿宋" w:eastAsia="仿宋" w:cs="宋体"/>
                <w:color w:val="000000"/>
                <w:sz w:val="24"/>
                <w:szCs w:val="24"/>
              </w:rPr>
              <w:t>-</w:t>
            </w:r>
            <w:r>
              <w:rPr>
                <w:rFonts w:hint="eastAsia" w:ascii="仿宋" w:hAnsi="仿宋" w:eastAsia="仿宋" w:cs="微软雅黑"/>
                <w:color w:val="000000"/>
                <w:sz w:val="24"/>
                <w:szCs w:val="24"/>
              </w:rPr>
              <w:t>至今</w:t>
            </w:r>
            <w:r>
              <w:rPr>
                <w:rFonts w:hint="eastAsia" w:ascii="仿宋" w:hAnsi="仿宋" w:eastAsia="仿宋" w:cs="宋体"/>
                <w:color w:val="000000"/>
                <w:sz w:val="24"/>
                <w:szCs w:val="24"/>
              </w:rPr>
              <w:t xml:space="preserve"> </w:t>
            </w:r>
            <w:r>
              <w:rPr>
                <w:rFonts w:hint="eastAsia" w:ascii="仿宋" w:hAnsi="仿宋" w:eastAsia="仿宋" w:cs="微软雅黑"/>
                <w:color w:val="000000"/>
                <w:sz w:val="24"/>
                <w:szCs w:val="24"/>
              </w:rPr>
              <w:t>广西财经学院，专任教师</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企业战略管理</w:t>
            </w: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兼职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国际经济与贸易，市场营销</w:t>
            </w:r>
          </w:p>
        </w:tc>
      </w:tr>
      <w:tr>
        <w:tblPrEx>
          <w:tblLayout w:type="fixed"/>
          <w:tblCellMar>
            <w:top w:w="0" w:type="dxa"/>
            <w:left w:w="108" w:type="dxa"/>
            <w:bottom w:w="0" w:type="dxa"/>
            <w:right w:w="108" w:type="dxa"/>
          </w:tblCellMar>
        </w:tblPrEx>
        <w:trPr>
          <w:trHeight w:val="220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李湘君</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34</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讲师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国际经济与贸易</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中央民族大学</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国际贸易学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首都经济贸易大学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2012</w:t>
            </w:r>
            <w:r>
              <w:rPr>
                <w:rFonts w:hint="eastAsia" w:ascii="仿宋" w:hAnsi="仿宋" w:eastAsia="仿宋" w:cs="微软雅黑"/>
                <w:color w:val="000000"/>
                <w:sz w:val="24"/>
                <w:szCs w:val="24"/>
              </w:rPr>
              <w:t>年至今从教于南宁师范大学师园学院</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实习指导</w:t>
            </w: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专职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国际经济与贸易，市场营销，金融工程</w:t>
            </w:r>
          </w:p>
        </w:tc>
      </w:tr>
      <w:tr>
        <w:tblPrEx>
          <w:tblLayout w:type="fixed"/>
          <w:tblCellMar>
            <w:top w:w="0" w:type="dxa"/>
            <w:left w:w="108" w:type="dxa"/>
            <w:bottom w:w="0" w:type="dxa"/>
            <w:right w:w="108" w:type="dxa"/>
          </w:tblCellMar>
        </w:tblPrEx>
        <w:trPr>
          <w:trHeight w:val="472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何杭佳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男</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46</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讲师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理工系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数学教育</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广西师范大学</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应用数学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吉林大学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2017</w:t>
            </w:r>
            <w:r>
              <w:rPr>
                <w:rFonts w:hint="eastAsia" w:ascii="仿宋" w:hAnsi="仿宋" w:eastAsia="仿宋" w:cs="微软雅黑"/>
                <w:color w:val="000000"/>
                <w:sz w:val="24"/>
                <w:szCs w:val="24"/>
              </w:rPr>
              <w:t>年</w:t>
            </w:r>
            <w:r>
              <w:rPr>
                <w:rFonts w:hint="eastAsia" w:ascii="仿宋" w:hAnsi="仿宋" w:eastAsia="仿宋" w:cs="宋体"/>
                <w:color w:val="000000"/>
                <w:sz w:val="24"/>
                <w:szCs w:val="24"/>
              </w:rPr>
              <w:t>3</w:t>
            </w:r>
            <w:r>
              <w:rPr>
                <w:rFonts w:hint="eastAsia" w:ascii="仿宋" w:hAnsi="仿宋" w:eastAsia="仿宋" w:cs="微软雅黑"/>
                <w:color w:val="000000"/>
                <w:sz w:val="24"/>
                <w:szCs w:val="24"/>
              </w:rPr>
              <w:t>月</w:t>
            </w:r>
            <w:r>
              <w:rPr>
                <w:rFonts w:hint="eastAsia" w:ascii="仿宋" w:hAnsi="仿宋" w:eastAsia="仿宋" w:cs="宋体"/>
                <w:color w:val="000000"/>
                <w:sz w:val="24"/>
                <w:szCs w:val="24"/>
              </w:rPr>
              <w:t>-</w:t>
            </w:r>
            <w:r>
              <w:rPr>
                <w:rFonts w:hint="eastAsia" w:ascii="仿宋" w:hAnsi="仿宋" w:eastAsia="仿宋" w:cs="微软雅黑"/>
                <w:color w:val="000000"/>
                <w:sz w:val="24"/>
                <w:szCs w:val="24"/>
              </w:rPr>
              <w:t>至今南宁师范学院师园学院，理工系专任教师</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概率论与数理统计</w:t>
            </w: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概率论与数理统计</w:t>
            </w: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概率论与数理统计</w:t>
            </w: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微积分，概率论与数理统计</w:t>
            </w: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专职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数学与应用数学、地理学、计算机软件与技术、电子与信息技术、信息管理与信息系统、小学教育</w:t>
            </w:r>
          </w:p>
        </w:tc>
      </w:tr>
      <w:tr>
        <w:tblPrEx>
          <w:tblLayout w:type="fixed"/>
          <w:tblCellMar>
            <w:top w:w="0" w:type="dxa"/>
            <w:left w:w="108" w:type="dxa"/>
            <w:bottom w:w="0" w:type="dxa"/>
            <w:right w:w="108" w:type="dxa"/>
          </w:tblCellMar>
        </w:tblPrEx>
        <w:trPr>
          <w:trHeight w:val="157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黄慧萍</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38</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讲师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数学教育</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南宁地区教育学院</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应用数学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无</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广西师范学院</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2014</w:t>
            </w:r>
            <w:r>
              <w:rPr>
                <w:rFonts w:hint="eastAsia" w:ascii="仿宋" w:hAnsi="仿宋" w:eastAsia="仿宋" w:cs="微软雅黑"/>
                <w:color w:val="000000"/>
                <w:sz w:val="24"/>
                <w:szCs w:val="24"/>
              </w:rPr>
              <w:t>年至今在南宁学院任教</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统计学原理</w:t>
            </w: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兼职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无</w:t>
            </w:r>
          </w:p>
        </w:tc>
      </w:tr>
      <w:tr>
        <w:tblPrEx>
          <w:tblLayout w:type="fixed"/>
          <w:tblCellMar>
            <w:top w:w="0" w:type="dxa"/>
            <w:left w:w="108" w:type="dxa"/>
            <w:bottom w:w="0" w:type="dxa"/>
            <w:right w:w="108" w:type="dxa"/>
          </w:tblCellMar>
        </w:tblPrEx>
        <w:trPr>
          <w:trHeight w:val="94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宁宏新</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36</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讲师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理工系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物理学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玉林师范学院</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理论物理</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大学老师</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微积分</w:t>
            </w: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专职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r>
      <w:tr>
        <w:tblPrEx>
          <w:tblLayout w:type="fixed"/>
          <w:tblCellMar>
            <w:top w:w="0" w:type="dxa"/>
            <w:left w:w="108" w:type="dxa"/>
            <w:bottom w:w="0" w:type="dxa"/>
            <w:right w:w="108" w:type="dxa"/>
          </w:tblCellMar>
        </w:tblPrEx>
        <w:trPr>
          <w:trHeight w:val="1080"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杨迪</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32</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讲师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理工系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数学与应用数学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玉林师范学院</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数学与应用数学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桂林电子科技大学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大学老师</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微积分</w:t>
            </w: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专职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r>
      <w:tr>
        <w:tblPrEx>
          <w:tblLayout w:type="fixed"/>
          <w:tblCellMar>
            <w:top w:w="0" w:type="dxa"/>
            <w:left w:w="108" w:type="dxa"/>
            <w:bottom w:w="0" w:type="dxa"/>
            <w:right w:w="108" w:type="dxa"/>
          </w:tblCellMar>
        </w:tblPrEx>
        <w:trPr>
          <w:trHeight w:val="157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苏丽琴</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54</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讲师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数学方法论</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无</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广西大学</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数学方法论</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无</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微积分</w:t>
            </w: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兼职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无</w:t>
            </w:r>
          </w:p>
        </w:tc>
      </w:tr>
      <w:tr>
        <w:tblPrEx>
          <w:tblLayout w:type="fixed"/>
          <w:tblCellMar>
            <w:top w:w="0" w:type="dxa"/>
            <w:left w:w="108" w:type="dxa"/>
            <w:bottom w:w="0" w:type="dxa"/>
            <w:right w:w="108" w:type="dxa"/>
          </w:tblCellMar>
        </w:tblPrEx>
        <w:trPr>
          <w:trHeight w:val="220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韦梅坚</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40</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讲师</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数学与应用数学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无</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广西师范学院</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数学与应用数学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无</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广西师范学院</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线性代数</w:t>
            </w: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兼职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金融工程</w:t>
            </w:r>
          </w:p>
        </w:tc>
      </w:tr>
      <w:tr>
        <w:tblPrEx>
          <w:tblLayout w:type="fixed"/>
          <w:tblCellMar>
            <w:top w:w="0" w:type="dxa"/>
            <w:left w:w="108" w:type="dxa"/>
            <w:bottom w:w="0" w:type="dxa"/>
            <w:right w:w="108" w:type="dxa"/>
          </w:tblCellMar>
        </w:tblPrEx>
        <w:trPr>
          <w:trHeight w:val="409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黄闵</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32</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会计从业资格证</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工商管理</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法国</w:t>
            </w:r>
            <w:r>
              <w:rPr>
                <w:rFonts w:hint="eastAsia" w:ascii="仿宋" w:hAnsi="仿宋" w:eastAsia="仿宋" w:cs="宋体"/>
                <w:color w:val="000000"/>
                <w:sz w:val="24"/>
                <w:szCs w:val="24"/>
              </w:rPr>
              <w:t>IPAG</w:t>
            </w:r>
            <w:r>
              <w:rPr>
                <w:rFonts w:hint="eastAsia" w:ascii="仿宋" w:hAnsi="仿宋" w:eastAsia="仿宋" w:cs="微软雅黑"/>
                <w:color w:val="000000"/>
                <w:sz w:val="24"/>
                <w:szCs w:val="24"/>
              </w:rPr>
              <w:t>高等商学院</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金融学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法国</w:t>
            </w:r>
            <w:r>
              <w:rPr>
                <w:rFonts w:hint="eastAsia" w:ascii="仿宋" w:hAnsi="仿宋" w:eastAsia="仿宋" w:cs="宋体"/>
                <w:color w:val="000000"/>
                <w:sz w:val="24"/>
                <w:szCs w:val="24"/>
              </w:rPr>
              <w:t>IPAG</w:t>
            </w:r>
            <w:r>
              <w:rPr>
                <w:rFonts w:hint="eastAsia" w:ascii="仿宋" w:hAnsi="仿宋" w:eastAsia="仿宋" w:cs="微软雅黑"/>
                <w:color w:val="000000"/>
                <w:sz w:val="24"/>
                <w:szCs w:val="24"/>
              </w:rPr>
              <w:t>高等商学院</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2017</w:t>
            </w:r>
            <w:r>
              <w:rPr>
                <w:rFonts w:hint="eastAsia" w:ascii="仿宋" w:hAnsi="仿宋" w:eastAsia="仿宋" w:cs="微软雅黑"/>
                <w:color w:val="000000"/>
                <w:sz w:val="24"/>
                <w:szCs w:val="24"/>
              </w:rPr>
              <w:t>年</w:t>
            </w:r>
            <w:r>
              <w:rPr>
                <w:rFonts w:hint="eastAsia" w:ascii="仿宋" w:hAnsi="仿宋" w:eastAsia="仿宋" w:cs="宋体"/>
                <w:color w:val="000000"/>
                <w:sz w:val="24"/>
                <w:szCs w:val="24"/>
              </w:rPr>
              <w:t>3</w:t>
            </w:r>
            <w:r>
              <w:rPr>
                <w:rFonts w:hint="eastAsia" w:ascii="仿宋" w:hAnsi="仿宋" w:eastAsia="仿宋" w:cs="微软雅黑"/>
                <w:color w:val="000000"/>
                <w:sz w:val="24"/>
                <w:szCs w:val="24"/>
              </w:rPr>
              <w:t>月</w:t>
            </w:r>
            <w:r>
              <w:rPr>
                <w:rFonts w:hint="eastAsia" w:ascii="仿宋" w:hAnsi="仿宋" w:eastAsia="仿宋" w:cs="宋体"/>
                <w:color w:val="000000"/>
                <w:sz w:val="24"/>
                <w:szCs w:val="24"/>
              </w:rPr>
              <w:t>-</w:t>
            </w:r>
            <w:r>
              <w:rPr>
                <w:rFonts w:hint="eastAsia" w:ascii="仿宋" w:hAnsi="仿宋" w:eastAsia="仿宋" w:cs="微软雅黑"/>
                <w:color w:val="000000"/>
                <w:sz w:val="24"/>
                <w:szCs w:val="24"/>
              </w:rPr>
              <w:t>至今</w:t>
            </w:r>
            <w:r>
              <w:rPr>
                <w:rFonts w:hint="eastAsia" w:ascii="仿宋" w:hAnsi="仿宋" w:eastAsia="仿宋" w:cs="宋体"/>
                <w:color w:val="000000"/>
                <w:sz w:val="24"/>
                <w:szCs w:val="24"/>
              </w:rPr>
              <w:t xml:space="preserve"> </w:t>
            </w:r>
            <w:r>
              <w:rPr>
                <w:rFonts w:hint="eastAsia" w:ascii="仿宋" w:hAnsi="仿宋" w:eastAsia="仿宋" w:cs="微软雅黑"/>
                <w:color w:val="000000"/>
                <w:sz w:val="24"/>
                <w:szCs w:val="24"/>
              </w:rPr>
              <w:t>南宁师范大学师园学院，经管系专任教师</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中级财务会计（上）</w:t>
            </w: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中级财务会计（上），中级财务会计</w:t>
            </w:r>
            <w:r>
              <w:rPr>
                <w:rFonts w:hint="eastAsia" w:ascii="仿宋" w:hAnsi="仿宋" w:eastAsia="仿宋" w:cs="宋体"/>
                <w:color w:val="000000"/>
                <w:sz w:val="24"/>
                <w:szCs w:val="24"/>
              </w:rPr>
              <w:t>(</w:t>
            </w:r>
            <w:r>
              <w:rPr>
                <w:rFonts w:hint="eastAsia" w:ascii="仿宋" w:hAnsi="仿宋" w:eastAsia="仿宋" w:cs="微软雅黑"/>
                <w:color w:val="000000"/>
                <w:sz w:val="24"/>
                <w:szCs w:val="24"/>
              </w:rPr>
              <w:t>下</w:t>
            </w:r>
            <w:r>
              <w:rPr>
                <w:rFonts w:hint="eastAsia" w:ascii="仿宋" w:hAnsi="仿宋" w:eastAsia="仿宋" w:cs="宋体"/>
                <w:color w:val="000000"/>
                <w:sz w:val="24"/>
                <w:szCs w:val="24"/>
              </w:rPr>
              <w:t>)</w:t>
            </w:r>
            <w:r>
              <w:rPr>
                <w:rFonts w:hint="eastAsia" w:ascii="仿宋" w:hAnsi="仿宋" w:eastAsia="仿宋" w:cs="微软雅黑"/>
                <w:color w:val="000000"/>
                <w:sz w:val="24"/>
                <w:szCs w:val="24"/>
              </w:rPr>
              <w:t>，会计学基础</w:t>
            </w: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会计手工实训，会计学基础</w:t>
            </w: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中级财务会计（上），会计学基础，会计手工实训，出纳实务，中级财务会计（下），毕业论文指导</w:t>
            </w: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专职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国际经济与贸易，市场营销，金融工程</w:t>
            </w:r>
          </w:p>
        </w:tc>
      </w:tr>
      <w:tr>
        <w:tblPrEx>
          <w:tblLayout w:type="fixed"/>
          <w:tblCellMar>
            <w:top w:w="0" w:type="dxa"/>
            <w:left w:w="108" w:type="dxa"/>
            <w:bottom w:w="0" w:type="dxa"/>
            <w:right w:w="108" w:type="dxa"/>
          </w:tblCellMar>
        </w:tblPrEx>
        <w:trPr>
          <w:trHeight w:val="409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郭莎莎</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31</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初级会计职称</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财务管理</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大连海事大学</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公共管理</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中国地质大学（武汉）</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1.2012</w:t>
            </w:r>
            <w:r>
              <w:rPr>
                <w:rFonts w:hint="eastAsia" w:ascii="仿宋" w:hAnsi="仿宋" w:eastAsia="仿宋" w:cs="微软雅黑"/>
                <w:color w:val="000000"/>
                <w:sz w:val="24"/>
                <w:szCs w:val="24"/>
              </w:rPr>
              <w:t>年</w:t>
            </w:r>
            <w:r>
              <w:rPr>
                <w:rFonts w:hint="eastAsia" w:ascii="仿宋" w:hAnsi="仿宋" w:eastAsia="仿宋" w:cs="宋体"/>
                <w:color w:val="000000"/>
                <w:sz w:val="24"/>
                <w:szCs w:val="24"/>
              </w:rPr>
              <w:t>7-2018</w:t>
            </w:r>
            <w:r>
              <w:rPr>
                <w:rFonts w:hint="eastAsia" w:ascii="仿宋" w:hAnsi="仿宋" w:eastAsia="仿宋" w:cs="微软雅黑"/>
                <w:color w:val="000000"/>
                <w:sz w:val="24"/>
                <w:szCs w:val="24"/>
              </w:rPr>
              <w:t>年</w:t>
            </w:r>
            <w:r>
              <w:rPr>
                <w:rFonts w:hint="eastAsia" w:ascii="仿宋" w:hAnsi="仿宋" w:eastAsia="仿宋" w:cs="宋体"/>
                <w:color w:val="000000"/>
                <w:sz w:val="24"/>
                <w:szCs w:val="24"/>
              </w:rPr>
              <w:t>10</w:t>
            </w:r>
            <w:r>
              <w:rPr>
                <w:rFonts w:hint="eastAsia" w:ascii="仿宋" w:hAnsi="仿宋" w:eastAsia="仿宋" w:cs="微软雅黑"/>
                <w:color w:val="000000"/>
                <w:sz w:val="24"/>
                <w:szCs w:val="24"/>
              </w:rPr>
              <w:t>：北京永拓会计师事务所（特殊普通合伙）广西分所</w:t>
            </w:r>
            <w:r>
              <w:rPr>
                <w:rFonts w:hint="eastAsia" w:ascii="仿宋" w:hAnsi="仿宋" w:eastAsia="仿宋" w:cs="宋体"/>
                <w:color w:val="000000"/>
                <w:sz w:val="24"/>
                <w:szCs w:val="24"/>
              </w:rPr>
              <w:t>-</w:t>
            </w:r>
            <w:r>
              <w:rPr>
                <w:rFonts w:hint="eastAsia" w:ascii="仿宋" w:hAnsi="仿宋" w:eastAsia="仿宋" w:cs="微软雅黑"/>
                <w:color w:val="000000"/>
                <w:sz w:val="24"/>
                <w:szCs w:val="24"/>
              </w:rPr>
              <w:t>审计项目经理</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成本会计，管理会计，财务分析与</w:t>
            </w:r>
            <w:r>
              <w:rPr>
                <w:rFonts w:hint="eastAsia" w:ascii="仿宋" w:hAnsi="仿宋" w:eastAsia="仿宋" w:cs="宋体"/>
                <w:color w:val="000000"/>
                <w:sz w:val="24"/>
                <w:szCs w:val="24"/>
              </w:rPr>
              <w:t>EXCEL</w:t>
            </w:r>
            <w:r>
              <w:rPr>
                <w:rFonts w:hint="eastAsia" w:ascii="仿宋" w:hAnsi="仿宋" w:eastAsia="仿宋" w:cs="微软雅黑"/>
                <w:color w:val="000000"/>
                <w:sz w:val="24"/>
                <w:szCs w:val="24"/>
              </w:rPr>
              <w:t>在会计中的应用，财务管理案例分析</w:t>
            </w: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财务管理，高级财务会计，</w:t>
            </w:r>
            <w:r>
              <w:rPr>
                <w:rFonts w:hint="eastAsia" w:ascii="仿宋" w:hAnsi="仿宋" w:eastAsia="仿宋" w:cs="宋体"/>
                <w:color w:val="000000"/>
                <w:sz w:val="24"/>
                <w:szCs w:val="24"/>
              </w:rPr>
              <w:t>EXCEL</w:t>
            </w:r>
            <w:r>
              <w:rPr>
                <w:rFonts w:hint="eastAsia" w:ascii="仿宋" w:hAnsi="仿宋" w:eastAsia="仿宋" w:cs="微软雅黑"/>
                <w:color w:val="000000"/>
                <w:sz w:val="24"/>
                <w:szCs w:val="24"/>
              </w:rPr>
              <w:t>在会计与财务管理中的应用，中级财务会计（上），毕业论文指导</w:t>
            </w: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专职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国际经济与贸易，市场营销</w:t>
            </w:r>
          </w:p>
        </w:tc>
      </w:tr>
      <w:tr>
        <w:tblPrEx>
          <w:tblLayout w:type="fixed"/>
          <w:tblCellMar>
            <w:top w:w="0" w:type="dxa"/>
            <w:left w:w="108" w:type="dxa"/>
            <w:bottom w:w="0" w:type="dxa"/>
            <w:right w:w="108" w:type="dxa"/>
          </w:tblCellMar>
        </w:tblPrEx>
        <w:trPr>
          <w:trHeight w:val="1706"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唐飞笼</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宋体"/>
                <w:color w:val="000000"/>
                <w:sz w:val="24"/>
                <w:szCs w:val="24"/>
              </w:rPr>
            </w:pPr>
            <w:r>
              <w:rPr>
                <w:rFonts w:hint="eastAsia" w:ascii="仿宋" w:hAnsi="仿宋" w:eastAsia="仿宋" w:cs="宋体"/>
                <w:color w:val="000000"/>
                <w:sz w:val="24"/>
                <w:szCs w:val="24"/>
              </w:rPr>
              <w:t>27</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助教</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理工系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数学与应用数学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南宁师范大学师园学院</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概率论与数理统计</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南宁师范大学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宋体"/>
                <w:color w:val="000000"/>
                <w:sz w:val="24"/>
                <w:szCs w:val="24"/>
              </w:rPr>
            </w:pPr>
            <w:r>
              <w:rPr>
                <w:rFonts w:hint="eastAsia" w:ascii="仿宋" w:hAnsi="仿宋" w:eastAsia="仿宋" w:cs="微软雅黑"/>
                <w:color w:val="000000"/>
                <w:sz w:val="24"/>
                <w:szCs w:val="24"/>
              </w:rPr>
              <w:t>大学老师</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概率论与数理统计</w:t>
            </w: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专职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数学与应用数学</w:t>
            </w:r>
          </w:p>
        </w:tc>
      </w:tr>
      <w:tr>
        <w:tblPrEx>
          <w:tblLayout w:type="fixed"/>
          <w:tblCellMar>
            <w:top w:w="0" w:type="dxa"/>
            <w:left w:w="108" w:type="dxa"/>
            <w:bottom w:w="0" w:type="dxa"/>
            <w:right w:w="108" w:type="dxa"/>
          </w:tblCellMar>
        </w:tblPrEx>
        <w:trPr>
          <w:trHeight w:val="157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温艳鸿</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29</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初级会计</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会计学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广西财经学院</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会计学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广西财经学院</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2019</w:t>
            </w:r>
            <w:r>
              <w:rPr>
                <w:rFonts w:hint="eastAsia" w:ascii="仿宋" w:hAnsi="仿宋" w:eastAsia="仿宋" w:cs="微软雅黑"/>
                <w:color w:val="000000"/>
                <w:sz w:val="24"/>
                <w:szCs w:val="24"/>
              </w:rPr>
              <w:t>年在广西华宇建设集团股份有限公司从事会计核算岗</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会计学，审计学，成本会计</w:t>
            </w: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专职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国际经济与贸易</w:t>
            </w:r>
          </w:p>
        </w:tc>
      </w:tr>
      <w:tr>
        <w:tblPrEx>
          <w:tblLayout w:type="fixed"/>
          <w:tblCellMar>
            <w:top w:w="0" w:type="dxa"/>
            <w:left w:w="108" w:type="dxa"/>
            <w:bottom w:w="0" w:type="dxa"/>
            <w:right w:w="108" w:type="dxa"/>
          </w:tblCellMar>
        </w:tblPrEx>
        <w:trPr>
          <w:trHeight w:val="1890"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张佰昆</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男</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30</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未评级</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管理学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俄罗斯国立经理与服务大学</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管理学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俄罗斯国立经理与服务大学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2017</w:t>
            </w:r>
            <w:r>
              <w:rPr>
                <w:rFonts w:hint="eastAsia" w:ascii="仿宋" w:hAnsi="仿宋" w:eastAsia="仿宋" w:cs="微软雅黑"/>
                <w:color w:val="000000"/>
                <w:sz w:val="24"/>
                <w:szCs w:val="24"/>
              </w:rPr>
              <w:t>年进入南宁师范大学师园学院任教，</w:t>
            </w:r>
            <w:r>
              <w:rPr>
                <w:rFonts w:hint="eastAsia" w:ascii="仿宋" w:hAnsi="仿宋" w:eastAsia="仿宋" w:cs="宋体"/>
                <w:color w:val="000000"/>
                <w:sz w:val="24"/>
                <w:szCs w:val="24"/>
              </w:rPr>
              <w:t>2018</w:t>
            </w:r>
            <w:r>
              <w:rPr>
                <w:rFonts w:hint="eastAsia" w:ascii="仿宋" w:hAnsi="仿宋" w:eastAsia="仿宋" w:cs="微软雅黑"/>
                <w:color w:val="000000"/>
                <w:sz w:val="24"/>
                <w:szCs w:val="24"/>
              </w:rPr>
              <w:t>年离职</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管理学原理</w:t>
            </w: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专职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r>
      <w:tr>
        <w:tblPrEx>
          <w:tblLayout w:type="fixed"/>
          <w:tblCellMar>
            <w:top w:w="0" w:type="dxa"/>
            <w:left w:w="108" w:type="dxa"/>
            <w:bottom w:w="0" w:type="dxa"/>
            <w:right w:w="108" w:type="dxa"/>
          </w:tblCellMar>
        </w:tblPrEx>
        <w:trPr>
          <w:trHeight w:val="1890"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江先辉</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男</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28</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未评级</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经济管理系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会计学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澳门科技大学</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会计学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澳门科技大学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财经法规与会计职业道德，会计学基础</w:t>
            </w: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兼职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无</w:t>
            </w:r>
          </w:p>
        </w:tc>
      </w:tr>
      <w:tr>
        <w:tblPrEx>
          <w:tblLayout w:type="fixed"/>
          <w:tblCellMar>
            <w:top w:w="0" w:type="dxa"/>
            <w:left w:w="108" w:type="dxa"/>
            <w:bottom w:w="0" w:type="dxa"/>
            <w:right w:w="108" w:type="dxa"/>
          </w:tblCellMar>
        </w:tblPrEx>
        <w:trPr>
          <w:trHeight w:val="1260"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谢雅洵</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28</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未定职</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理工系</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数学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学士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北京化工大学</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数学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北京化工大学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2018</w:t>
            </w:r>
            <w:r>
              <w:rPr>
                <w:rFonts w:hint="eastAsia" w:ascii="仿宋" w:hAnsi="仿宋" w:eastAsia="仿宋" w:cs="微软雅黑"/>
                <w:color w:val="000000"/>
                <w:sz w:val="24"/>
                <w:szCs w:val="24"/>
              </w:rPr>
              <w:t>年</w:t>
            </w:r>
            <w:r>
              <w:rPr>
                <w:rFonts w:hint="eastAsia" w:ascii="仿宋" w:hAnsi="仿宋" w:eastAsia="仿宋" w:cs="宋体"/>
                <w:color w:val="000000"/>
                <w:sz w:val="24"/>
                <w:szCs w:val="24"/>
              </w:rPr>
              <w:t>9</w:t>
            </w:r>
            <w:r>
              <w:rPr>
                <w:rFonts w:hint="eastAsia" w:ascii="仿宋" w:hAnsi="仿宋" w:eastAsia="仿宋" w:cs="微软雅黑"/>
                <w:color w:val="000000"/>
                <w:sz w:val="24"/>
                <w:szCs w:val="24"/>
              </w:rPr>
              <w:t>月</w:t>
            </w:r>
            <w:r>
              <w:rPr>
                <w:rFonts w:hint="eastAsia" w:ascii="仿宋" w:hAnsi="仿宋" w:eastAsia="仿宋" w:cs="宋体"/>
                <w:color w:val="000000"/>
                <w:sz w:val="24"/>
                <w:szCs w:val="24"/>
              </w:rPr>
              <w:t>-</w:t>
            </w:r>
            <w:r>
              <w:rPr>
                <w:rFonts w:hint="eastAsia" w:ascii="仿宋" w:hAnsi="仿宋" w:eastAsia="仿宋" w:cs="微软雅黑"/>
                <w:color w:val="000000"/>
                <w:sz w:val="24"/>
                <w:szCs w:val="24"/>
              </w:rPr>
              <w:t>至今</w:t>
            </w:r>
            <w:r>
              <w:rPr>
                <w:rFonts w:hint="eastAsia" w:ascii="仿宋" w:hAnsi="仿宋" w:eastAsia="仿宋" w:cs="宋体"/>
                <w:color w:val="000000"/>
                <w:sz w:val="24"/>
                <w:szCs w:val="24"/>
              </w:rPr>
              <w:t xml:space="preserve"> </w:t>
            </w:r>
            <w:r>
              <w:rPr>
                <w:rFonts w:hint="eastAsia" w:ascii="仿宋" w:hAnsi="仿宋" w:eastAsia="仿宋" w:cs="微软雅黑"/>
                <w:color w:val="000000"/>
                <w:sz w:val="24"/>
                <w:szCs w:val="24"/>
              </w:rPr>
              <w:t>南宁师范大学师园学院，专任教师</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线性代数</w:t>
            </w: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微积分</w:t>
            </w: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微积分</w:t>
            </w: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专职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数学与应用数学，小学教育</w:t>
            </w:r>
          </w:p>
        </w:tc>
      </w:tr>
      <w:tr>
        <w:tblPrEx>
          <w:tblLayout w:type="fixed"/>
          <w:tblCellMar>
            <w:top w:w="0" w:type="dxa"/>
            <w:left w:w="108" w:type="dxa"/>
            <w:bottom w:w="0" w:type="dxa"/>
            <w:right w:w="108" w:type="dxa"/>
          </w:tblCellMar>
        </w:tblPrEx>
        <w:trPr>
          <w:trHeight w:val="409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朱美玲</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女</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31</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未定职</w:t>
            </w:r>
          </w:p>
        </w:tc>
        <w:tc>
          <w:tcPr>
            <w:tcW w:w="45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数学与应用数学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本科</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玉林师范学院</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应用数学</w:t>
            </w:r>
          </w:p>
        </w:tc>
        <w:tc>
          <w:tcPr>
            <w:tcW w:w="51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硕士</w:t>
            </w:r>
          </w:p>
        </w:tc>
        <w:tc>
          <w:tcPr>
            <w:tcW w:w="6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深圳大学</w:t>
            </w:r>
          </w:p>
        </w:tc>
        <w:tc>
          <w:tcPr>
            <w:tcW w:w="134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2018</w:t>
            </w:r>
            <w:r>
              <w:rPr>
                <w:rFonts w:hint="eastAsia" w:ascii="仿宋" w:hAnsi="仿宋" w:eastAsia="仿宋" w:cs="微软雅黑"/>
                <w:color w:val="000000"/>
                <w:sz w:val="24"/>
                <w:szCs w:val="24"/>
              </w:rPr>
              <w:t>年</w:t>
            </w:r>
            <w:r>
              <w:rPr>
                <w:rFonts w:hint="eastAsia" w:ascii="仿宋" w:hAnsi="仿宋" w:eastAsia="仿宋" w:cs="宋体"/>
                <w:color w:val="000000"/>
                <w:sz w:val="24"/>
                <w:szCs w:val="24"/>
              </w:rPr>
              <w:t>9</w:t>
            </w:r>
            <w:r>
              <w:rPr>
                <w:rFonts w:hint="eastAsia" w:ascii="仿宋" w:hAnsi="仿宋" w:eastAsia="仿宋" w:cs="微软雅黑"/>
                <w:color w:val="000000"/>
                <w:sz w:val="24"/>
                <w:szCs w:val="24"/>
              </w:rPr>
              <w:t>月</w:t>
            </w:r>
            <w:r>
              <w:rPr>
                <w:rFonts w:hint="eastAsia" w:ascii="仿宋" w:hAnsi="仿宋" w:eastAsia="仿宋" w:cs="宋体"/>
                <w:color w:val="000000"/>
                <w:sz w:val="24"/>
                <w:szCs w:val="24"/>
              </w:rPr>
              <w:t>1</w:t>
            </w:r>
            <w:r>
              <w:rPr>
                <w:rFonts w:hint="eastAsia" w:ascii="仿宋" w:hAnsi="仿宋" w:eastAsia="仿宋" w:cs="微软雅黑"/>
                <w:color w:val="000000"/>
                <w:sz w:val="24"/>
                <w:szCs w:val="24"/>
              </w:rPr>
              <w:t>日至今在南宁师范大学师园学院任专任教师</w:t>
            </w:r>
          </w:p>
        </w:tc>
        <w:tc>
          <w:tcPr>
            <w:tcW w:w="123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117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线性代数</w:t>
            </w:r>
          </w:p>
        </w:tc>
        <w:tc>
          <w:tcPr>
            <w:tcW w:w="12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p>
        </w:tc>
        <w:tc>
          <w:tcPr>
            <w:tcW w:w="60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专职</w:t>
            </w:r>
          </w:p>
        </w:tc>
        <w:tc>
          <w:tcPr>
            <w:tcW w:w="118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sz w:val="24"/>
                <w:szCs w:val="24"/>
              </w:rPr>
            </w:pPr>
            <w:r>
              <w:rPr>
                <w:rFonts w:hint="eastAsia" w:ascii="仿宋" w:hAnsi="仿宋" w:eastAsia="仿宋" w:cs="微软雅黑"/>
                <w:color w:val="000000"/>
                <w:sz w:val="24"/>
                <w:szCs w:val="24"/>
              </w:rPr>
              <w:t>数学与应用数学、地理学、计算机软件与技术、电子与信息技术、信息管理与信息系统</w:t>
            </w:r>
          </w:p>
        </w:tc>
      </w:tr>
    </w:tbl>
    <w:p>
      <w:pPr>
        <w:widowControl w:val="0"/>
        <w:adjustRightInd/>
        <w:snapToGrid/>
        <w:spacing w:after="0" w:line="300" w:lineRule="exact"/>
        <w:ind w:left="360" w:hanging="360" w:hangingChars="150"/>
        <w:rPr>
          <w:rFonts w:ascii="Times New Roman" w:hAnsi="Times New Roman" w:eastAsia="仿宋"/>
          <w:snapToGrid w:val="0"/>
          <w:color w:val="000000"/>
          <w:kern w:val="2"/>
          <w:sz w:val="24"/>
          <w:szCs w:val="24"/>
        </w:rPr>
      </w:pPr>
    </w:p>
    <w:p>
      <w:pPr>
        <w:widowControl w:val="0"/>
        <w:adjustRightInd/>
        <w:snapToGrid/>
        <w:spacing w:after="0" w:line="300" w:lineRule="exact"/>
        <w:ind w:left="360" w:hanging="360" w:hangingChars="150"/>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注：本表所填专业教师是指该专业开设以来，所有从事过专业课（含专业基础课）教学工作的教师（包含专职教师与兼职教师）。</w:t>
      </w:r>
    </w:p>
    <w:p>
      <w:pPr>
        <w:widowControl w:val="0"/>
        <w:adjustRightInd/>
        <w:snapToGrid/>
        <w:spacing w:after="0" w:line="300" w:lineRule="exact"/>
        <w:ind w:firstLine="480" w:firstLineChars="200"/>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主讲专业课程对应的年份是指学年，例如2016是指2016秋季学期-2017春季学期。</w:t>
      </w:r>
    </w:p>
    <w:p>
      <w:pPr>
        <w:widowControl w:val="0"/>
        <w:adjustRightInd/>
        <w:snapToGrid/>
        <w:spacing w:after="0" w:line="300" w:lineRule="exact"/>
        <w:rPr>
          <w:rFonts w:ascii="Times New Roman" w:hAnsi="Times New Roman" w:eastAsia="仿宋"/>
          <w:snapToGrid w:val="0"/>
          <w:color w:val="000000"/>
          <w:kern w:val="2"/>
          <w:sz w:val="24"/>
          <w:szCs w:val="24"/>
        </w:rPr>
      </w:pP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4. 专业开设以来专业教师主持的教育教学研究和改革项目情况表（不超过20项）</w:t>
      </w:r>
    </w:p>
    <w:tbl>
      <w:tblPr>
        <w:tblStyle w:val="6"/>
        <w:tblW w:w="144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1"/>
        <w:gridCol w:w="3430"/>
        <w:gridCol w:w="2070"/>
        <w:gridCol w:w="2070"/>
        <w:gridCol w:w="2070"/>
        <w:gridCol w:w="2461"/>
        <w:gridCol w:w="1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7" w:hRule="atLeast"/>
          <w:tblHeader/>
        </w:trPr>
        <w:tc>
          <w:tcPr>
            <w:tcW w:w="7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序号</w:t>
            </w:r>
          </w:p>
        </w:tc>
        <w:tc>
          <w:tcPr>
            <w:tcW w:w="34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课题名称</w:t>
            </w:r>
          </w:p>
        </w:tc>
        <w:tc>
          <w:tcPr>
            <w:tcW w:w="207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主持人</w:t>
            </w:r>
          </w:p>
        </w:tc>
        <w:tc>
          <w:tcPr>
            <w:tcW w:w="207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项目类别</w:t>
            </w:r>
          </w:p>
        </w:tc>
        <w:tc>
          <w:tcPr>
            <w:tcW w:w="207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立项时间</w:t>
            </w:r>
          </w:p>
        </w:tc>
        <w:tc>
          <w:tcPr>
            <w:tcW w:w="246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经费（万元）</w:t>
            </w:r>
          </w:p>
        </w:tc>
        <w:tc>
          <w:tcPr>
            <w:tcW w:w="16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1" w:hRule="atLeast"/>
        </w:trPr>
        <w:tc>
          <w:tcPr>
            <w:tcW w:w="711"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p>
        </w:tc>
        <w:tc>
          <w:tcPr>
            <w:tcW w:w="3430"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sz w:val="24"/>
                <w:szCs w:val="24"/>
              </w:rPr>
              <w:t>新时期广西高校金融工程专业实践性教学体系构建研究</w:t>
            </w:r>
          </w:p>
        </w:tc>
        <w:tc>
          <w:tcPr>
            <w:tcW w:w="2070"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sz w:val="24"/>
                <w:szCs w:val="24"/>
              </w:rPr>
              <w:t>王珍珍</w:t>
            </w:r>
          </w:p>
        </w:tc>
        <w:tc>
          <w:tcPr>
            <w:tcW w:w="2070"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sz w:val="24"/>
                <w:szCs w:val="24"/>
              </w:rPr>
              <w:t>广西教育科学“十三五”规划</w:t>
            </w:r>
          </w:p>
        </w:tc>
        <w:tc>
          <w:tcPr>
            <w:tcW w:w="2070" w:type="dxa"/>
            <w:vAlign w:val="center"/>
          </w:tcPr>
          <w:p>
            <w:pPr>
              <w:spacing w:line="300" w:lineRule="exact"/>
              <w:jc w:val="center"/>
              <w:rPr>
                <w:rFonts w:hint="eastAsia" w:ascii="Times New Roman" w:hAnsi="Times New Roman" w:eastAsia="仿宋"/>
                <w:snapToGrid w:val="0"/>
                <w:color w:val="000000"/>
                <w:sz w:val="24"/>
                <w:szCs w:val="24"/>
                <w:lang w:val="en-US" w:eastAsia="zh-CN"/>
              </w:rPr>
            </w:pPr>
            <w:r>
              <w:rPr>
                <w:rFonts w:hint="eastAsia" w:ascii="Times New Roman" w:hAnsi="Times New Roman" w:eastAsia="仿宋"/>
                <w:snapToGrid w:val="0"/>
                <w:sz w:val="24"/>
                <w:szCs w:val="24"/>
              </w:rPr>
              <w:t>2</w:t>
            </w:r>
            <w:r>
              <w:rPr>
                <w:rFonts w:ascii="Times New Roman" w:hAnsi="Times New Roman" w:eastAsia="仿宋"/>
                <w:snapToGrid w:val="0"/>
                <w:sz w:val="24"/>
                <w:szCs w:val="24"/>
              </w:rPr>
              <w:t>017</w:t>
            </w:r>
            <w:r>
              <w:rPr>
                <w:rFonts w:hint="eastAsia" w:ascii="Times New Roman" w:hAnsi="Times New Roman" w:eastAsia="仿宋"/>
                <w:snapToGrid w:val="0"/>
                <w:sz w:val="24"/>
                <w:szCs w:val="24"/>
                <w:lang w:val="en-US" w:eastAsia="zh-CN"/>
              </w:rPr>
              <w:t>年</w:t>
            </w:r>
          </w:p>
        </w:tc>
        <w:tc>
          <w:tcPr>
            <w:tcW w:w="2461" w:type="dxa"/>
            <w:vAlign w:val="center"/>
          </w:tcPr>
          <w:p>
            <w:pPr>
              <w:spacing w:line="300" w:lineRule="exact"/>
              <w:jc w:val="center"/>
              <w:rPr>
                <w:rFonts w:ascii="Times New Roman" w:hAnsi="Times New Roman" w:eastAsia="仿宋"/>
                <w:snapToGrid w:val="0"/>
                <w:color w:val="000000"/>
                <w:sz w:val="24"/>
                <w:szCs w:val="24"/>
              </w:rPr>
            </w:pPr>
            <w:r>
              <w:rPr>
                <w:rFonts w:ascii="Times New Roman" w:hAnsi="Times New Roman" w:eastAsia="仿宋"/>
                <w:snapToGrid w:val="0"/>
                <w:sz w:val="24"/>
                <w:szCs w:val="24"/>
              </w:rPr>
              <w:t>0</w:t>
            </w:r>
          </w:p>
        </w:tc>
        <w:tc>
          <w:tcPr>
            <w:tcW w:w="1645"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1" w:hRule="atLeast"/>
        </w:trPr>
        <w:tc>
          <w:tcPr>
            <w:tcW w:w="711"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p>
        </w:tc>
        <w:tc>
          <w:tcPr>
            <w:tcW w:w="3430"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独立学院市场营销专业应用创新型人才培养模式研究</w:t>
            </w:r>
          </w:p>
        </w:tc>
        <w:tc>
          <w:tcPr>
            <w:tcW w:w="2070"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黄江美</w:t>
            </w:r>
          </w:p>
        </w:tc>
        <w:tc>
          <w:tcPr>
            <w:tcW w:w="2070"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018</w:t>
            </w:r>
            <w:r>
              <w:rPr>
                <w:rFonts w:hint="eastAsia" w:ascii="Times New Roman" w:hAnsi="Times New Roman" w:eastAsia="仿宋"/>
                <w:snapToGrid w:val="0"/>
                <w:color w:val="000000"/>
                <w:sz w:val="24"/>
                <w:szCs w:val="24"/>
              </w:rPr>
              <w:t>年度广西高等教育本科教学改革工程项目</w:t>
            </w:r>
          </w:p>
        </w:tc>
        <w:tc>
          <w:tcPr>
            <w:tcW w:w="2070"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018</w:t>
            </w:r>
            <w:r>
              <w:rPr>
                <w:rFonts w:hint="eastAsia" w:ascii="Times New Roman" w:hAnsi="Times New Roman" w:eastAsia="仿宋"/>
                <w:snapToGrid w:val="0"/>
                <w:color w:val="000000"/>
                <w:sz w:val="24"/>
                <w:szCs w:val="24"/>
              </w:rPr>
              <w:t>年</w:t>
            </w:r>
          </w:p>
        </w:tc>
        <w:tc>
          <w:tcPr>
            <w:tcW w:w="2461"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1</w:t>
            </w:r>
          </w:p>
        </w:tc>
        <w:tc>
          <w:tcPr>
            <w:tcW w:w="1645" w:type="dxa"/>
            <w:vAlign w:val="center"/>
          </w:tcPr>
          <w:p>
            <w:pPr>
              <w:spacing w:line="300" w:lineRule="exact"/>
              <w:jc w:val="center"/>
              <w:rPr>
                <w:rFonts w:ascii="Times New Roman" w:hAnsi="Times New Roman" w:eastAsia="仿宋"/>
                <w:snapToGrid w:val="0"/>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1" w:hRule="atLeast"/>
        </w:trPr>
        <w:tc>
          <w:tcPr>
            <w:tcW w:w="711" w:type="dxa"/>
            <w:vAlign w:val="center"/>
          </w:tcPr>
          <w:p>
            <w:pPr>
              <w:spacing w:line="300" w:lineRule="exact"/>
              <w:jc w:val="center"/>
              <w:rPr>
                <w:rFonts w:ascii="Times New Roman" w:hAnsi="Times New Roman" w:eastAsia="仿宋"/>
                <w:snapToGrid w:val="0"/>
                <w:color w:val="000000"/>
                <w:sz w:val="24"/>
                <w:szCs w:val="24"/>
              </w:rPr>
            </w:pPr>
            <w:r>
              <w:rPr>
                <w:rFonts w:ascii="Times New Roman" w:hAnsi="Times New Roman" w:eastAsia="仿宋"/>
                <w:snapToGrid w:val="0"/>
                <w:color w:val="000000"/>
                <w:sz w:val="24"/>
                <w:szCs w:val="24"/>
              </w:rPr>
              <w:t>3</w:t>
            </w:r>
          </w:p>
        </w:tc>
        <w:tc>
          <w:tcPr>
            <w:tcW w:w="3430"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基于“一带一路”背景下高校培养外贸物流人才“一专多能”的研究与实践</w:t>
            </w:r>
          </w:p>
        </w:tc>
        <w:tc>
          <w:tcPr>
            <w:tcW w:w="2070"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李德正</w:t>
            </w:r>
          </w:p>
        </w:tc>
        <w:tc>
          <w:tcPr>
            <w:tcW w:w="2070" w:type="dxa"/>
            <w:vAlign w:val="center"/>
          </w:tcPr>
          <w:p>
            <w:pPr>
              <w:spacing w:line="300" w:lineRule="exact"/>
              <w:jc w:val="center"/>
              <w:rPr>
                <w:rFonts w:ascii="Times New Roman" w:hAnsi="Times New Roman" w:eastAsia="仿宋"/>
                <w:snapToGrid w:val="0"/>
                <w:color w:val="000000"/>
                <w:sz w:val="24"/>
                <w:szCs w:val="24"/>
              </w:rPr>
            </w:pPr>
            <w:r>
              <w:rPr>
                <w:rFonts w:ascii="Times New Roman" w:hAnsi="Times New Roman" w:eastAsia="仿宋"/>
                <w:snapToGrid w:val="0"/>
                <w:color w:val="000000"/>
                <w:sz w:val="24"/>
                <w:szCs w:val="24"/>
              </w:rPr>
              <w:t>2017年度广西高等教育本科教学改革工程项目</w:t>
            </w:r>
          </w:p>
        </w:tc>
        <w:tc>
          <w:tcPr>
            <w:tcW w:w="2070"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017</w:t>
            </w:r>
            <w:r>
              <w:rPr>
                <w:rFonts w:hint="eastAsia" w:ascii="Times New Roman" w:hAnsi="Times New Roman" w:eastAsia="仿宋"/>
                <w:snapToGrid w:val="0"/>
                <w:color w:val="000000"/>
                <w:sz w:val="24"/>
                <w:szCs w:val="24"/>
              </w:rPr>
              <w:t>年</w:t>
            </w:r>
          </w:p>
        </w:tc>
        <w:tc>
          <w:tcPr>
            <w:tcW w:w="2461"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p>
        </w:tc>
        <w:tc>
          <w:tcPr>
            <w:tcW w:w="1645"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019</w:t>
            </w:r>
            <w:r>
              <w:rPr>
                <w:rFonts w:hint="eastAsia" w:ascii="Times New Roman" w:hAnsi="Times New Roman" w:eastAsia="仿宋"/>
                <w:snapToGrid w:val="0"/>
                <w:color w:val="000000"/>
                <w:sz w:val="24"/>
                <w:szCs w:val="24"/>
              </w:rPr>
              <w:t>年已结题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1" w:hRule="atLeast"/>
        </w:trPr>
        <w:tc>
          <w:tcPr>
            <w:tcW w:w="711" w:type="dxa"/>
            <w:vAlign w:val="center"/>
          </w:tcPr>
          <w:p>
            <w:pPr>
              <w:spacing w:line="300" w:lineRule="exact"/>
              <w:jc w:val="center"/>
              <w:rPr>
                <w:rFonts w:ascii="Times New Roman" w:hAnsi="Times New Roman" w:eastAsia="仿宋"/>
                <w:snapToGrid w:val="0"/>
                <w:color w:val="000000"/>
                <w:sz w:val="24"/>
                <w:szCs w:val="24"/>
              </w:rPr>
            </w:pPr>
            <w:r>
              <w:rPr>
                <w:rFonts w:ascii="Times New Roman" w:hAnsi="Times New Roman" w:eastAsia="仿宋"/>
                <w:snapToGrid w:val="0"/>
                <w:color w:val="000000"/>
                <w:sz w:val="24"/>
                <w:szCs w:val="24"/>
              </w:rPr>
              <w:t>4</w:t>
            </w:r>
          </w:p>
        </w:tc>
        <w:tc>
          <w:tcPr>
            <w:tcW w:w="3430"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独立院校</w:t>
            </w:r>
            <w:r>
              <w:rPr>
                <w:rFonts w:ascii="Times New Roman" w:hAnsi="Times New Roman" w:eastAsia="仿宋"/>
                <w:snapToGrid w:val="0"/>
                <w:color w:val="000000"/>
                <w:sz w:val="24"/>
                <w:szCs w:val="24"/>
              </w:rPr>
              <w:t>国际贸易实务课程实训教学改革——基于</w:t>
            </w:r>
            <w:r>
              <w:rPr>
                <w:rFonts w:hint="eastAsia" w:ascii="Times New Roman" w:hAnsi="Times New Roman" w:eastAsia="仿宋"/>
                <w:snapToGrid w:val="0"/>
                <w:color w:val="000000"/>
                <w:sz w:val="24"/>
                <w:szCs w:val="24"/>
              </w:rPr>
              <w:t>simtrade外贸实训</w:t>
            </w:r>
            <w:r>
              <w:rPr>
                <w:rFonts w:ascii="Times New Roman" w:hAnsi="Times New Roman" w:eastAsia="仿宋"/>
                <w:snapToGrid w:val="0"/>
                <w:color w:val="000000"/>
                <w:sz w:val="24"/>
                <w:szCs w:val="24"/>
              </w:rPr>
              <w:t>平台的项目导向型教学研究</w:t>
            </w:r>
          </w:p>
        </w:tc>
        <w:tc>
          <w:tcPr>
            <w:tcW w:w="2070"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李湘君</w:t>
            </w:r>
          </w:p>
        </w:tc>
        <w:tc>
          <w:tcPr>
            <w:tcW w:w="2070"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校级教研</w:t>
            </w:r>
          </w:p>
        </w:tc>
        <w:tc>
          <w:tcPr>
            <w:tcW w:w="2070" w:type="dxa"/>
            <w:vAlign w:val="center"/>
          </w:tcPr>
          <w:p>
            <w:pPr>
              <w:spacing w:line="300" w:lineRule="exact"/>
              <w:jc w:val="center"/>
              <w:rPr>
                <w:rFonts w:hint="eastAsia" w:ascii="Times New Roman" w:hAnsi="Times New Roman" w:eastAsia="仿宋"/>
                <w:snapToGrid w:val="0"/>
                <w:color w:val="FF0000"/>
                <w:sz w:val="24"/>
                <w:szCs w:val="24"/>
                <w:lang w:val="en-US" w:eastAsia="zh-CN"/>
              </w:rPr>
            </w:pPr>
            <w:r>
              <w:rPr>
                <w:rFonts w:hint="eastAsia" w:ascii="Times New Roman" w:hAnsi="Times New Roman" w:eastAsia="仿宋"/>
                <w:snapToGrid w:val="0"/>
                <w:color w:val="000000"/>
                <w:sz w:val="24"/>
                <w:szCs w:val="24"/>
              </w:rPr>
              <w:t>201</w:t>
            </w:r>
            <w:r>
              <w:rPr>
                <w:rFonts w:ascii="Times New Roman" w:hAnsi="Times New Roman" w:eastAsia="仿宋"/>
                <w:snapToGrid w:val="0"/>
                <w:color w:val="000000"/>
                <w:sz w:val="24"/>
                <w:szCs w:val="24"/>
              </w:rPr>
              <w:t>7</w:t>
            </w:r>
            <w:r>
              <w:rPr>
                <w:rFonts w:hint="eastAsia" w:ascii="Times New Roman" w:hAnsi="Times New Roman" w:eastAsia="仿宋"/>
                <w:snapToGrid w:val="0"/>
                <w:color w:val="000000"/>
                <w:sz w:val="24"/>
                <w:szCs w:val="24"/>
                <w:lang w:val="en-US" w:eastAsia="zh-CN"/>
              </w:rPr>
              <w:t>年</w:t>
            </w:r>
          </w:p>
        </w:tc>
        <w:tc>
          <w:tcPr>
            <w:tcW w:w="2461"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0</w:t>
            </w:r>
          </w:p>
        </w:tc>
        <w:tc>
          <w:tcPr>
            <w:tcW w:w="1645" w:type="dxa"/>
            <w:vAlign w:val="center"/>
          </w:tcPr>
          <w:p>
            <w:pPr>
              <w:spacing w:line="300" w:lineRule="exact"/>
              <w:jc w:val="center"/>
              <w:rPr>
                <w:rFonts w:ascii="Times New Roman" w:hAnsi="Times New Roman" w:eastAsia="仿宋"/>
                <w:snapToGrid w:val="0"/>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1" w:hRule="atLeast"/>
        </w:trPr>
        <w:tc>
          <w:tcPr>
            <w:tcW w:w="711" w:type="dxa"/>
            <w:vAlign w:val="center"/>
          </w:tcPr>
          <w:p>
            <w:pPr>
              <w:spacing w:line="300" w:lineRule="exact"/>
              <w:jc w:val="center"/>
              <w:rPr>
                <w:rFonts w:ascii="Times New Roman" w:hAnsi="Times New Roman" w:eastAsia="仿宋"/>
                <w:snapToGrid w:val="0"/>
                <w:color w:val="000000"/>
                <w:sz w:val="24"/>
                <w:szCs w:val="24"/>
              </w:rPr>
            </w:pPr>
            <w:r>
              <w:rPr>
                <w:rFonts w:ascii="Times New Roman" w:hAnsi="Times New Roman" w:eastAsia="仿宋"/>
                <w:snapToGrid w:val="0"/>
                <w:color w:val="000000"/>
                <w:sz w:val="24"/>
                <w:szCs w:val="24"/>
              </w:rPr>
              <w:t>5</w:t>
            </w:r>
          </w:p>
        </w:tc>
        <w:tc>
          <w:tcPr>
            <w:tcW w:w="3430" w:type="dxa"/>
            <w:vAlign w:val="center"/>
          </w:tcPr>
          <w:p>
            <w:pPr>
              <w:jc w:val="center"/>
              <w:rPr>
                <w:rFonts w:ascii="Times New Roman" w:hAnsi="Times New Roman" w:eastAsia="仿宋"/>
                <w:snapToGrid w:val="0"/>
                <w:sz w:val="24"/>
                <w:szCs w:val="24"/>
              </w:rPr>
            </w:pPr>
            <w:r>
              <w:rPr>
                <w:rFonts w:hint="eastAsia" w:ascii="Times New Roman" w:hAnsi="Times New Roman" w:eastAsia="仿宋"/>
                <w:snapToGrid w:val="0"/>
                <w:color w:val="000000"/>
                <w:sz w:val="24"/>
                <w:szCs w:val="24"/>
              </w:rPr>
              <w:t>新形势下独立师范院校物流实验室建设研究</w:t>
            </w:r>
          </w:p>
        </w:tc>
        <w:tc>
          <w:tcPr>
            <w:tcW w:w="2070" w:type="dxa"/>
            <w:vAlign w:val="center"/>
          </w:tcPr>
          <w:p>
            <w:pPr>
              <w:spacing w:line="300" w:lineRule="exact"/>
              <w:jc w:val="center"/>
              <w:rPr>
                <w:rFonts w:ascii="Times New Roman" w:hAnsi="Times New Roman" w:eastAsia="仿宋"/>
                <w:snapToGrid w:val="0"/>
                <w:sz w:val="24"/>
                <w:szCs w:val="24"/>
              </w:rPr>
            </w:pPr>
            <w:r>
              <w:rPr>
                <w:rFonts w:hint="eastAsia" w:ascii="Times New Roman" w:hAnsi="Times New Roman" w:eastAsia="仿宋"/>
                <w:snapToGrid w:val="0"/>
                <w:color w:val="000000"/>
                <w:sz w:val="24"/>
                <w:szCs w:val="24"/>
              </w:rPr>
              <w:t>骆柳毅</w:t>
            </w:r>
          </w:p>
        </w:tc>
        <w:tc>
          <w:tcPr>
            <w:tcW w:w="2070" w:type="dxa"/>
            <w:vAlign w:val="center"/>
          </w:tcPr>
          <w:p>
            <w:pPr>
              <w:spacing w:line="300" w:lineRule="exact"/>
              <w:jc w:val="center"/>
              <w:rPr>
                <w:rFonts w:ascii="Times New Roman" w:hAnsi="Times New Roman" w:eastAsia="仿宋"/>
                <w:snapToGrid w:val="0"/>
                <w:sz w:val="24"/>
                <w:szCs w:val="24"/>
              </w:rPr>
            </w:pPr>
            <w:r>
              <w:rPr>
                <w:rFonts w:hint="eastAsia" w:ascii="Times New Roman" w:hAnsi="Times New Roman" w:eastAsia="仿宋"/>
                <w:snapToGrid w:val="0"/>
                <w:color w:val="000000"/>
                <w:sz w:val="24"/>
                <w:szCs w:val="24"/>
              </w:rPr>
              <w:t>校级教研</w:t>
            </w:r>
          </w:p>
        </w:tc>
        <w:tc>
          <w:tcPr>
            <w:tcW w:w="2070" w:type="dxa"/>
            <w:vAlign w:val="center"/>
          </w:tcPr>
          <w:p>
            <w:pPr>
              <w:jc w:val="center"/>
              <w:rPr>
                <w:rFonts w:hint="eastAsia" w:ascii="Times New Roman" w:hAnsi="Times New Roman" w:eastAsia="仿宋"/>
                <w:snapToGrid w:val="0"/>
                <w:sz w:val="24"/>
                <w:szCs w:val="24"/>
                <w:lang w:val="en-US" w:eastAsia="zh-CN"/>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017</w:t>
            </w:r>
            <w:r>
              <w:rPr>
                <w:rFonts w:hint="eastAsia" w:ascii="Times New Roman" w:hAnsi="Times New Roman" w:eastAsia="仿宋"/>
                <w:snapToGrid w:val="0"/>
                <w:color w:val="000000"/>
                <w:sz w:val="24"/>
                <w:szCs w:val="24"/>
                <w:lang w:val="en-US" w:eastAsia="zh-CN"/>
              </w:rPr>
              <w:t>年</w:t>
            </w:r>
          </w:p>
        </w:tc>
        <w:tc>
          <w:tcPr>
            <w:tcW w:w="2461" w:type="dxa"/>
            <w:vAlign w:val="center"/>
          </w:tcPr>
          <w:p>
            <w:pPr>
              <w:spacing w:line="300" w:lineRule="exact"/>
              <w:jc w:val="center"/>
              <w:rPr>
                <w:rFonts w:ascii="Times New Roman" w:hAnsi="Times New Roman" w:eastAsia="仿宋"/>
                <w:snapToGrid w:val="0"/>
                <w:sz w:val="24"/>
                <w:szCs w:val="24"/>
              </w:rPr>
            </w:pPr>
            <w:r>
              <w:rPr>
                <w:rFonts w:hint="eastAsia" w:ascii="Times New Roman" w:hAnsi="Times New Roman" w:eastAsia="仿宋"/>
                <w:snapToGrid w:val="0"/>
                <w:color w:val="000000"/>
                <w:sz w:val="24"/>
                <w:szCs w:val="24"/>
              </w:rPr>
              <w:t>0</w:t>
            </w:r>
          </w:p>
        </w:tc>
        <w:tc>
          <w:tcPr>
            <w:tcW w:w="1645" w:type="dxa"/>
            <w:vAlign w:val="center"/>
          </w:tcPr>
          <w:p>
            <w:pPr>
              <w:spacing w:line="300" w:lineRule="exact"/>
              <w:jc w:val="center"/>
              <w:rPr>
                <w:rFonts w:ascii="Times New Roman" w:hAnsi="Times New Roman" w:eastAsia="仿宋"/>
                <w:snapToGrid w:val="0"/>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1" w:hRule="atLeast"/>
        </w:trPr>
        <w:tc>
          <w:tcPr>
            <w:tcW w:w="711"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6</w:t>
            </w:r>
          </w:p>
        </w:tc>
        <w:tc>
          <w:tcPr>
            <w:tcW w:w="3430" w:type="dxa"/>
            <w:vAlign w:val="center"/>
          </w:tcPr>
          <w:p>
            <w:pPr>
              <w:jc w:val="center"/>
              <w:rPr>
                <w:rFonts w:ascii="Times New Roman" w:hAnsi="Times New Roman" w:eastAsia="仿宋"/>
                <w:snapToGrid w:val="0"/>
                <w:color w:val="000000" w:themeColor="text1"/>
                <w:sz w:val="24"/>
                <w:szCs w:val="24"/>
                <w14:textFill>
                  <w14:solidFill>
                    <w14:schemeClr w14:val="tx1"/>
                  </w14:solidFill>
                </w14:textFill>
              </w:rPr>
            </w:pPr>
            <w:r>
              <w:rPr>
                <w:rFonts w:hint="eastAsia" w:ascii="Times New Roman" w:hAnsi="Times New Roman" w:eastAsia="仿宋"/>
                <w:snapToGrid w:val="0"/>
                <w:color w:val="000000" w:themeColor="text1"/>
                <w:sz w:val="24"/>
                <w:szCs w:val="24"/>
                <w14:textFill>
                  <w14:solidFill>
                    <w14:schemeClr w14:val="tx1"/>
                  </w14:solidFill>
                </w14:textFill>
              </w:rPr>
              <w:t>基于e-WTP视角下校企合作共育外贸跨境电商应用型人才的研究与实践</w:t>
            </w:r>
          </w:p>
        </w:tc>
        <w:tc>
          <w:tcPr>
            <w:tcW w:w="2070" w:type="dxa"/>
            <w:vAlign w:val="center"/>
          </w:tcPr>
          <w:p>
            <w:pPr>
              <w:spacing w:line="300" w:lineRule="exact"/>
              <w:jc w:val="center"/>
              <w:rPr>
                <w:rFonts w:ascii="Times New Roman" w:hAnsi="Times New Roman" w:eastAsia="仿宋"/>
                <w:snapToGrid w:val="0"/>
                <w:color w:val="000000" w:themeColor="text1"/>
                <w:sz w:val="24"/>
                <w:szCs w:val="24"/>
                <w14:textFill>
                  <w14:solidFill>
                    <w14:schemeClr w14:val="tx1"/>
                  </w14:solidFill>
                </w14:textFill>
              </w:rPr>
            </w:pPr>
            <w:r>
              <w:rPr>
                <w:rFonts w:hint="eastAsia" w:ascii="Times New Roman" w:hAnsi="Times New Roman" w:eastAsia="仿宋"/>
                <w:snapToGrid w:val="0"/>
                <w:color w:val="000000" w:themeColor="text1"/>
                <w:sz w:val="24"/>
                <w:szCs w:val="24"/>
                <w14:textFill>
                  <w14:solidFill>
                    <w14:schemeClr w14:val="tx1"/>
                  </w14:solidFill>
                </w14:textFill>
              </w:rPr>
              <w:t>李德正</w:t>
            </w:r>
          </w:p>
        </w:tc>
        <w:tc>
          <w:tcPr>
            <w:tcW w:w="2070" w:type="dxa"/>
            <w:vAlign w:val="center"/>
          </w:tcPr>
          <w:p>
            <w:pPr>
              <w:spacing w:line="300" w:lineRule="exact"/>
              <w:jc w:val="center"/>
              <w:rPr>
                <w:rFonts w:ascii="Times New Roman" w:hAnsi="Times New Roman" w:eastAsia="仿宋"/>
                <w:snapToGrid w:val="0"/>
                <w:color w:val="000000" w:themeColor="text1"/>
                <w:sz w:val="24"/>
                <w:szCs w:val="24"/>
                <w14:textFill>
                  <w14:solidFill>
                    <w14:schemeClr w14:val="tx1"/>
                  </w14:solidFill>
                </w14:textFill>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020</w:t>
            </w:r>
            <w:r>
              <w:rPr>
                <w:rFonts w:hint="eastAsia" w:ascii="Times New Roman" w:hAnsi="Times New Roman" w:eastAsia="仿宋"/>
                <w:snapToGrid w:val="0"/>
                <w:color w:val="000000"/>
                <w:sz w:val="24"/>
                <w:szCs w:val="24"/>
              </w:rPr>
              <w:t>年度广西高等教育本科教学改革工程项目</w:t>
            </w:r>
          </w:p>
        </w:tc>
        <w:tc>
          <w:tcPr>
            <w:tcW w:w="2070" w:type="dxa"/>
            <w:vAlign w:val="center"/>
          </w:tcPr>
          <w:p>
            <w:pPr>
              <w:jc w:val="center"/>
              <w:rPr>
                <w:rFonts w:hint="eastAsia" w:ascii="Times New Roman" w:hAnsi="Times New Roman" w:eastAsia="仿宋"/>
                <w:snapToGrid w:val="0"/>
                <w:color w:val="000000" w:themeColor="text1"/>
                <w:sz w:val="24"/>
                <w:szCs w:val="24"/>
                <w:lang w:val="en-US" w:eastAsia="zh-CN"/>
                <w14:textFill>
                  <w14:solidFill>
                    <w14:schemeClr w14:val="tx1"/>
                  </w14:solidFill>
                </w14:textFill>
              </w:rPr>
            </w:pPr>
            <w:r>
              <w:rPr>
                <w:rFonts w:ascii="Times New Roman" w:hAnsi="Times New Roman" w:eastAsia="仿宋"/>
                <w:snapToGrid w:val="0"/>
                <w:color w:val="000000" w:themeColor="text1"/>
                <w:sz w:val="24"/>
                <w:szCs w:val="24"/>
                <w14:textFill>
                  <w14:solidFill>
                    <w14:schemeClr w14:val="tx1"/>
                  </w14:solidFill>
                </w14:textFill>
              </w:rPr>
              <w:t>2020</w:t>
            </w:r>
            <w:r>
              <w:rPr>
                <w:rFonts w:hint="eastAsia" w:ascii="Times New Roman" w:hAnsi="Times New Roman" w:eastAsia="仿宋"/>
                <w:snapToGrid w:val="0"/>
                <w:color w:val="000000" w:themeColor="text1"/>
                <w:sz w:val="24"/>
                <w:szCs w:val="24"/>
                <w:lang w:val="en-US" w:eastAsia="zh-CN"/>
                <w14:textFill>
                  <w14:solidFill>
                    <w14:schemeClr w14:val="tx1"/>
                  </w14:solidFill>
                </w14:textFill>
              </w:rPr>
              <w:t>年</w:t>
            </w:r>
          </w:p>
        </w:tc>
        <w:tc>
          <w:tcPr>
            <w:tcW w:w="2461" w:type="dxa"/>
            <w:vAlign w:val="center"/>
          </w:tcPr>
          <w:p>
            <w:pPr>
              <w:spacing w:line="300" w:lineRule="exact"/>
              <w:jc w:val="center"/>
              <w:rPr>
                <w:rFonts w:ascii="Times New Roman" w:hAnsi="Times New Roman" w:eastAsia="仿宋"/>
                <w:snapToGrid w:val="0"/>
                <w:color w:val="000000" w:themeColor="text1"/>
                <w:sz w:val="24"/>
                <w:szCs w:val="24"/>
                <w14:textFill>
                  <w14:solidFill>
                    <w14:schemeClr w14:val="tx1"/>
                  </w14:solidFill>
                </w14:textFill>
              </w:rPr>
            </w:pPr>
            <w:r>
              <w:rPr>
                <w:rFonts w:hint="eastAsia" w:ascii="Times New Roman" w:hAnsi="Times New Roman" w:eastAsia="仿宋"/>
                <w:snapToGrid w:val="0"/>
                <w:color w:val="000000" w:themeColor="text1"/>
                <w:sz w:val="24"/>
                <w:szCs w:val="24"/>
                <w14:textFill>
                  <w14:solidFill>
                    <w14:schemeClr w14:val="tx1"/>
                  </w14:solidFill>
                </w14:textFill>
              </w:rPr>
              <w:t>3</w:t>
            </w:r>
          </w:p>
        </w:tc>
        <w:tc>
          <w:tcPr>
            <w:tcW w:w="1645" w:type="dxa"/>
            <w:vAlign w:val="center"/>
          </w:tcPr>
          <w:p>
            <w:pPr>
              <w:spacing w:line="300" w:lineRule="exact"/>
              <w:jc w:val="center"/>
              <w:rPr>
                <w:rFonts w:ascii="Times New Roman" w:hAnsi="Times New Roman" w:eastAsia="仿宋"/>
                <w:snapToGrid w:val="0"/>
                <w:color w:val="000000"/>
                <w:sz w:val="24"/>
                <w:szCs w:val="24"/>
              </w:rPr>
            </w:pPr>
          </w:p>
        </w:tc>
      </w:tr>
    </w:tbl>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注：项目类别包括区级/校级教改项目、国家/区级教育科学规划课题、以及其他教学研究项目。</w:t>
      </w:r>
    </w:p>
    <w:p>
      <w:pPr>
        <w:widowControl w:val="0"/>
        <w:adjustRightInd/>
        <w:snapToGrid/>
        <w:spacing w:after="0" w:line="300" w:lineRule="exact"/>
        <w:rPr>
          <w:rFonts w:ascii="Times New Roman" w:hAnsi="Times New Roman" w:eastAsia="仿宋"/>
          <w:snapToGrid w:val="0"/>
          <w:color w:val="000000"/>
          <w:kern w:val="2"/>
          <w:sz w:val="28"/>
          <w:szCs w:val="28"/>
        </w:rPr>
      </w:pPr>
    </w:p>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8"/>
          <w:szCs w:val="28"/>
        </w:rPr>
        <w:t>5. 专业开设以来专业教师发表教研论文情况表（不超过20篇）</w:t>
      </w:r>
    </w:p>
    <w:tbl>
      <w:tblPr>
        <w:tblStyle w:val="6"/>
        <w:tblW w:w="144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8"/>
        <w:gridCol w:w="4052"/>
        <w:gridCol w:w="2408"/>
        <w:gridCol w:w="2408"/>
        <w:gridCol w:w="2408"/>
        <w:gridCol w:w="24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1" w:hRule="atLeast"/>
          <w:tblHeader/>
        </w:trPr>
        <w:tc>
          <w:tcPr>
            <w:tcW w:w="76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序号</w:t>
            </w:r>
          </w:p>
        </w:tc>
        <w:tc>
          <w:tcPr>
            <w:tcW w:w="405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论文名称</w:t>
            </w:r>
          </w:p>
        </w:tc>
        <w:tc>
          <w:tcPr>
            <w:tcW w:w="240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第一作者</w:t>
            </w:r>
          </w:p>
        </w:tc>
        <w:tc>
          <w:tcPr>
            <w:tcW w:w="240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发表期刊</w:t>
            </w:r>
          </w:p>
        </w:tc>
        <w:tc>
          <w:tcPr>
            <w:tcW w:w="240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发表时间</w:t>
            </w:r>
          </w:p>
        </w:tc>
        <w:tc>
          <w:tcPr>
            <w:tcW w:w="241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76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p>
        </w:tc>
        <w:tc>
          <w:tcPr>
            <w:tcW w:w="4052" w:type="dxa"/>
            <w:vAlign w:val="center"/>
          </w:tcPr>
          <w:p>
            <w:pPr>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高等职业教育存在的问题及解决对策---以会计专业教学为例</w:t>
            </w:r>
          </w:p>
        </w:tc>
        <w:tc>
          <w:tcPr>
            <w:tcW w:w="2408"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卢功文</w:t>
            </w:r>
          </w:p>
        </w:tc>
        <w:tc>
          <w:tcPr>
            <w:tcW w:w="2408"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当代教育实践与教学研究</w:t>
            </w:r>
          </w:p>
        </w:tc>
        <w:tc>
          <w:tcPr>
            <w:tcW w:w="2408" w:type="dxa"/>
            <w:vAlign w:val="center"/>
          </w:tcPr>
          <w:p>
            <w:pPr>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2019年6月</w:t>
            </w:r>
          </w:p>
        </w:tc>
        <w:tc>
          <w:tcPr>
            <w:tcW w:w="2413"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76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p>
        </w:tc>
        <w:tc>
          <w:tcPr>
            <w:tcW w:w="4052"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浅谈改革商务英语人才培养方法在外贸物流发展中的作用</w:t>
            </w:r>
          </w:p>
        </w:tc>
        <w:tc>
          <w:tcPr>
            <w:tcW w:w="240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杨胜花</w:t>
            </w:r>
          </w:p>
        </w:tc>
        <w:tc>
          <w:tcPr>
            <w:tcW w:w="240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休闲</w:t>
            </w:r>
            <w:r>
              <w:rPr>
                <w:rFonts w:ascii="Times New Roman" w:hAnsi="Times New Roman" w:eastAsia="仿宋"/>
                <w:snapToGrid w:val="0"/>
                <w:color w:val="000000"/>
                <w:sz w:val="24"/>
                <w:szCs w:val="24"/>
              </w:rPr>
              <w:t>LEISURE</w:t>
            </w:r>
          </w:p>
        </w:tc>
        <w:tc>
          <w:tcPr>
            <w:tcW w:w="240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019</w:t>
            </w:r>
            <w:r>
              <w:rPr>
                <w:rFonts w:hint="eastAsia" w:ascii="Times New Roman" w:hAnsi="Times New Roman" w:eastAsia="仿宋"/>
                <w:snapToGrid w:val="0"/>
                <w:color w:val="000000"/>
                <w:sz w:val="24"/>
                <w:szCs w:val="24"/>
              </w:rPr>
              <w:t>年3月</w:t>
            </w:r>
          </w:p>
        </w:tc>
        <w:tc>
          <w:tcPr>
            <w:tcW w:w="24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杂志社优秀论文评比一等奖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76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3</w:t>
            </w:r>
          </w:p>
        </w:tc>
        <w:tc>
          <w:tcPr>
            <w:tcW w:w="4052"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一带一路背景下跨境电商物流课程教学新思路探索</w:t>
            </w:r>
          </w:p>
        </w:tc>
        <w:tc>
          <w:tcPr>
            <w:tcW w:w="2408" w:type="dxa"/>
            <w:vAlign w:val="center"/>
          </w:tcPr>
          <w:p>
            <w:pPr>
              <w:spacing w:line="300" w:lineRule="exact"/>
              <w:jc w:val="center"/>
              <w:rPr>
                <w:rFonts w:ascii="Times New Roman" w:hAnsi="Times New Roman" w:eastAsia="仿宋"/>
                <w:snapToGrid w:val="0"/>
                <w:color w:val="FF0000"/>
                <w:sz w:val="24"/>
                <w:szCs w:val="24"/>
              </w:rPr>
            </w:pPr>
            <w:r>
              <w:rPr>
                <w:rFonts w:ascii="Times New Roman" w:hAnsi="Times New Roman" w:eastAsia="仿宋"/>
                <w:snapToGrid w:val="0"/>
                <w:color w:val="000000"/>
                <w:sz w:val="24"/>
                <w:szCs w:val="24"/>
              </w:rPr>
              <w:t>梁远芳</w:t>
            </w:r>
          </w:p>
        </w:tc>
        <w:tc>
          <w:tcPr>
            <w:tcW w:w="2408"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现代营销</w:t>
            </w:r>
          </w:p>
        </w:tc>
        <w:tc>
          <w:tcPr>
            <w:tcW w:w="2408"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019</w:t>
            </w:r>
            <w:r>
              <w:rPr>
                <w:rFonts w:hint="eastAsia" w:ascii="Times New Roman" w:hAnsi="Times New Roman" w:eastAsia="仿宋"/>
                <w:snapToGrid w:val="0"/>
                <w:color w:val="000000"/>
                <w:sz w:val="24"/>
                <w:szCs w:val="24"/>
              </w:rPr>
              <w:t>（3）</w:t>
            </w:r>
          </w:p>
        </w:tc>
        <w:tc>
          <w:tcPr>
            <w:tcW w:w="2413" w:type="dxa"/>
            <w:vAlign w:val="center"/>
          </w:tcPr>
          <w:p>
            <w:pPr>
              <w:spacing w:line="300" w:lineRule="exact"/>
              <w:jc w:val="center"/>
              <w:rPr>
                <w:rFonts w:ascii="Times New Roman" w:hAnsi="Times New Roman" w:eastAsia="仿宋"/>
                <w:snapToGrid w:val="0"/>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76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4</w:t>
            </w:r>
          </w:p>
        </w:tc>
        <w:tc>
          <w:tcPr>
            <w:tcW w:w="4052"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技术变革驱动下广西独立学院物流人才培养模式思索</w:t>
            </w:r>
          </w:p>
        </w:tc>
        <w:tc>
          <w:tcPr>
            <w:tcW w:w="2408" w:type="dxa"/>
            <w:vAlign w:val="center"/>
          </w:tcPr>
          <w:p>
            <w:pPr>
              <w:spacing w:line="300" w:lineRule="exact"/>
              <w:jc w:val="center"/>
              <w:rPr>
                <w:rFonts w:ascii="Times New Roman" w:hAnsi="Times New Roman" w:eastAsia="仿宋"/>
                <w:snapToGrid w:val="0"/>
                <w:color w:val="FF0000"/>
                <w:sz w:val="24"/>
                <w:szCs w:val="24"/>
              </w:rPr>
            </w:pPr>
            <w:r>
              <w:rPr>
                <w:rFonts w:ascii="Times New Roman" w:hAnsi="Times New Roman" w:eastAsia="仿宋"/>
                <w:snapToGrid w:val="0"/>
                <w:color w:val="000000"/>
                <w:sz w:val="24"/>
                <w:szCs w:val="24"/>
              </w:rPr>
              <w:t>骆柳毅</w:t>
            </w:r>
          </w:p>
        </w:tc>
        <w:tc>
          <w:tcPr>
            <w:tcW w:w="2408"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时代经贸</w:t>
            </w:r>
          </w:p>
        </w:tc>
        <w:tc>
          <w:tcPr>
            <w:tcW w:w="2408" w:type="dxa"/>
            <w:vAlign w:val="center"/>
          </w:tcPr>
          <w:p>
            <w:pPr>
              <w:spacing w:line="300" w:lineRule="exact"/>
              <w:jc w:val="center"/>
              <w:rPr>
                <w:rFonts w:hint="eastAsia" w:ascii="Times New Roman" w:hAnsi="Times New Roman" w:eastAsia="仿宋"/>
                <w:snapToGrid w:val="0"/>
                <w:color w:val="FF0000"/>
                <w:sz w:val="24"/>
                <w:szCs w:val="24"/>
                <w:lang w:eastAsia="zh-CN"/>
              </w:rPr>
            </w:pPr>
            <w:r>
              <w:rPr>
                <w:rFonts w:ascii="Times New Roman" w:hAnsi="Times New Roman" w:eastAsia="仿宋"/>
                <w:snapToGrid w:val="0"/>
                <w:color w:val="000000"/>
                <w:sz w:val="24"/>
                <w:szCs w:val="24"/>
              </w:rPr>
              <w:t>2019</w:t>
            </w:r>
            <w:r>
              <w:rPr>
                <w:rFonts w:hint="eastAsia" w:ascii="Times New Roman" w:hAnsi="Times New Roman" w:eastAsia="仿宋"/>
                <w:snapToGrid w:val="0"/>
                <w:color w:val="000000"/>
                <w:sz w:val="24"/>
                <w:szCs w:val="24"/>
                <w:lang w:eastAsia="zh-CN"/>
              </w:rPr>
              <w:t>（</w:t>
            </w:r>
            <w:r>
              <w:rPr>
                <w:rFonts w:hint="eastAsia" w:ascii="Times New Roman" w:hAnsi="Times New Roman" w:eastAsia="仿宋"/>
                <w:snapToGrid w:val="0"/>
                <w:color w:val="000000"/>
                <w:sz w:val="24"/>
                <w:szCs w:val="24"/>
                <w:lang w:val="en-US" w:eastAsia="zh-CN"/>
              </w:rPr>
              <w:t>02</w:t>
            </w:r>
            <w:r>
              <w:rPr>
                <w:rFonts w:hint="eastAsia" w:ascii="Times New Roman" w:hAnsi="Times New Roman" w:eastAsia="仿宋"/>
                <w:snapToGrid w:val="0"/>
                <w:color w:val="000000"/>
                <w:sz w:val="24"/>
                <w:szCs w:val="24"/>
                <w:lang w:eastAsia="zh-CN"/>
              </w:rPr>
              <w:t>）</w:t>
            </w:r>
          </w:p>
        </w:tc>
        <w:tc>
          <w:tcPr>
            <w:tcW w:w="2413" w:type="dxa"/>
            <w:vAlign w:val="center"/>
          </w:tcPr>
          <w:p>
            <w:pPr>
              <w:spacing w:line="300" w:lineRule="exact"/>
              <w:jc w:val="center"/>
              <w:rPr>
                <w:rFonts w:ascii="Times New Roman" w:hAnsi="Times New Roman" w:eastAsia="仿宋"/>
                <w:snapToGrid w:val="0"/>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trPr>
        <w:tc>
          <w:tcPr>
            <w:tcW w:w="76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5</w:t>
            </w:r>
          </w:p>
        </w:tc>
        <w:tc>
          <w:tcPr>
            <w:tcW w:w="4052"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大数据时代下广西独立师范院校物流实验室建设模式探讨</w:t>
            </w:r>
          </w:p>
        </w:tc>
        <w:tc>
          <w:tcPr>
            <w:tcW w:w="2408" w:type="dxa"/>
            <w:vAlign w:val="center"/>
          </w:tcPr>
          <w:p>
            <w:pPr>
              <w:spacing w:line="300" w:lineRule="exact"/>
              <w:jc w:val="center"/>
              <w:rPr>
                <w:rFonts w:ascii="Times New Roman" w:hAnsi="Times New Roman" w:eastAsia="仿宋"/>
                <w:snapToGrid w:val="0"/>
                <w:color w:val="FF0000"/>
                <w:sz w:val="24"/>
                <w:szCs w:val="24"/>
              </w:rPr>
            </w:pPr>
            <w:r>
              <w:rPr>
                <w:rFonts w:ascii="Times New Roman" w:hAnsi="Times New Roman" w:eastAsia="仿宋"/>
                <w:snapToGrid w:val="0"/>
                <w:color w:val="000000"/>
                <w:sz w:val="24"/>
                <w:szCs w:val="24"/>
              </w:rPr>
              <w:t>骆柳毅</w:t>
            </w:r>
          </w:p>
        </w:tc>
        <w:tc>
          <w:tcPr>
            <w:tcW w:w="2408"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时代经贸</w:t>
            </w:r>
          </w:p>
        </w:tc>
        <w:tc>
          <w:tcPr>
            <w:tcW w:w="2408" w:type="dxa"/>
            <w:vAlign w:val="center"/>
          </w:tcPr>
          <w:p>
            <w:pPr>
              <w:spacing w:line="300" w:lineRule="exact"/>
              <w:jc w:val="center"/>
              <w:rPr>
                <w:rFonts w:hint="eastAsia" w:ascii="Times New Roman" w:hAnsi="Times New Roman" w:eastAsia="仿宋"/>
                <w:snapToGrid w:val="0"/>
                <w:color w:val="FF0000"/>
                <w:sz w:val="24"/>
                <w:szCs w:val="24"/>
                <w:lang w:eastAsia="zh-CN"/>
              </w:rPr>
            </w:pPr>
            <w:r>
              <w:rPr>
                <w:rFonts w:ascii="Times New Roman" w:hAnsi="Times New Roman" w:eastAsia="仿宋"/>
                <w:snapToGrid w:val="0"/>
                <w:color w:val="000000"/>
                <w:sz w:val="24"/>
                <w:szCs w:val="24"/>
              </w:rPr>
              <w:t>2019</w:t>
            </w:r>
            <w:r>
              <w:rPr>
                <w:rFonts w:hint="eastAsia" w:ascii="Times New Roman" w:hAnsi="Times New Roman" w:eastAsia="仿宋"/>
                <w:snapToGrid w:val="0"/>
                <w:color w:val="000000"/>
                <w:sz w:val="24"/>
                <w:szCs w:val="24"/>
                <w:lang w:eastAsia="zh-CN"/>
              </w:rPr>
              <w:t>（</w:t>
            </w:r>
            <w:r>
              <w:rPr>
                <w:rFonts w:hint="eastAsia" w:ascii="Times New Roman" w:hAnsi="Times New Roman" w:eastAsia="仿宋"/>
                <w:snapToGrid w:val="0"/>
                <w:color w:val="000000"/>
                <w:sz w:val="24"/>
                <w:szCs w:val="24"/>
                <w:lang w:val="en-US" w:eastAsia="zh-CN"/>
              </w:rPr>
              <w:t>05</w:t>
            </w:r>
            <w:r>
              <w:rPr>
                <w:rFonts w:hint="eastAsia" w:ascii="Times New Roman" w:hAnsi="Times New Roman" w:eastAsia="仿宋"/>
                <w:snapToGrid w:val="0"/>
                <w:color w:val="000000"/>
                <w:sz w:val="24"/>
                <w:szCs w:val="24"/>
                <w:lang w:eastAsia="zh-CN"/>
              </w:rPr>
              <w:t>）</w:t>
            </w:r>
          </w:p>
        </w:tc>
        <w:tc>
          <w:tcPr>
            <w:tcW w:w="2413" w:type="dxa"/>
            <w:vAlign w:val="center"/>
          </w:tcPr>
          <w:p>
            <w:pPr>
              <w:spacing w:line="300" w:lineRule="exact"/>
              <w:jc w:val="center"/>
              <w:rPr>
                <w:rFonts w:ascii="Times New Roman" w:hAnsi="Times New Roman" w:eastAsia="仿宋"/>
                <w:snapToGrid w:val="0"/>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trPr>
        <w:tc>
          <w:tcPr>
            <w:tcW w:w="76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6</w:t>
            </w:r>
          </w:p>
        </w:tc>
        <w:tc>
          <w:tcPr>
            <w:tcW w:w="4052" w:type="dxa"/>
            <w:vAlign w:val="center"/>
          </w:tcPr>
          <w:p>
            <w:pPr>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“自贸区”战略背景下外贸人才培养的机遇与挑战分析</w:t>
            </w:r>
          </w:p>
        </w:tc>
        <w:tc>
          <w:tcPr>
            <w:tcW w:w="2408"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钟明容</w:t>
            </w:r>
          </w:p>
        </w:tc>
        <w:tc>
          <w:tcPr>
            <w:tcW w:w="2408"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对外经贸</w:t>
            </w:r>
          </w:p>
        </w:tc>
        <w:tc>
          <w:tcPr>
            <w:tcW w:w="2408" w:type="dxa"/>
            <w:vAlign w:val="center"/>
          </w:tcPr>
          <w:p>
            <w:pPr>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2019年2月</w:t>
            </w:r>
          </w:p>
        </w:tc>
        <w:tc>
          <w:tcPr>
            <w:tcW w:w="2413" w:type="dxa"/>
            <w:vAlign w:val="center"/>
          </w:tcPr>
          <w:p>
            <w:pPr>
              <w:spacing w:line="300" w:lineRule="exact"/>
              <w:jc w:val="center"/>
              <w:rPr>
                <w:rFonts w:ascii="Times New Roman" w:hAnsi="Times New Roman" w:eastAsia="仿宋"/>
                <w:snapToGrid w:val="0"/>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trPr>
        <w:tc>
          <w:tcPr>
            <w:tcW w:w="76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7</w:t>
            </w:r>
          </w:p>
        </w:tc>
        <w:tc>
          <w:tcPr>
            <w:tcW w:w="4052"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基于“一带一路”背景下广西高校应用型金融人才培养探析</w:t>
            </w:r>
          </w:p>
        </w:tc>
        <w:tc>
          <w:tcPr>
            <w:tcW w:w="240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徐瑜</w:t>
            </w:r>
          </w:p>
        </w:tc>
        <w:tc>
          <w:tcPr>
            <w:tcW w:w="240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广西教育</w:t>
            </w:r>
          </w:p>
        </w:tc>
        <w:tc>
          <w:tcPr>
            <w:tcW w:w="240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019</w:t>
            </w:r>
            <w:r>
              <w:rPr>
                <w:rFonts w:hint="eastAsia" w:ascii="Times New Roman" w:hAnsi="Times New Roman" w:eastAsia="仿宋"/>
                <w:snapToGrid w:val="0"/>
                <w:color w:val="000000"/>
                <w:sz w:val="24"/>
                <w:szCs w:val="24"/>
              </w:rPr>
              <w:t>（9）</w:t>
            </w:r>
          </w:p>
        </w:tc>
        <w:tc>
          <w:tcPr>
            <w:tcW w:w="2413" w:type="dxa"/>
            <w:vAlign w:val="center"/>
          </w:tcPr>
          <w:p>
            <w:pPr>
              <w:spacing w:line="300" w:lineRule="exact"/>
              <w:jc w:val="center"/>
              <w:rPr>
                <w:rFonts w:ascii="Times New Roman" w:hAnsi="Times New Roman" w:eastAsia="仿宋"/>
                <w:snapToGrid w:val="0"/>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trPr>
        <w:tc>
          <w:tcPr>
            <w:tcW w:w="76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8</w:t>
            </w:r>
          </w:p>
        </w:tc>
        <w:tc>
          <w:tcPr>
            <w:tcW w:w="4052" w:type="dxa"/>
            <w:vAlign w:val="center"/>
          </w:tcPr>
          <w:p>
            <w:pPr>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“一带一路”背景下广西高校物流管理人才培养研究</w:t>
            </w:r>
          </w:p>
        </w:tc>
        <w:tc>
          <w:tcPr>
            <w:tcW w:w="2408"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黄江美</w:t>
            </w:r>
          </w:p>
        </w:tc>
        <w:tc>
          <w:tcPr>
            <w:tcW w:w="2408"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中国商论</w:t>
            </w:r>
          </w:p>
        </w:tc>
        <w:tc>
          <w:tcPr>
            <w:tcW w:w="2408" w:type="dxa"/>
            <w:vAlign w:val="center"/>
          </w:tcPr>
          <w:p>
            <w:pPr>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019</w:t>
            </w:r>
            <w:r>
              <w:rPr>
                <w:rFonts w:hint="eastAsia" w:ascii="Times New Roman" w:hAnsi="Times New Roman" w:eastAsia="仿宋"/>
                <w:snapToGrid w:val="0"/>
                <w:color w:val="000000"/>
                <w:sz w:val="24"/>
                <w:szCs w:val="24"/>
              </w:rPr>
              <w:t>（7）</w:t>
            </w:r>
          </w:p>
        </w:tc>
        <w:tc>
          <w:tcPr>
            <w:tcW w:w="2413" w:type="dxa"/>
            <w:vAlign w:val="center"/>
          </w:tcPr>
          <w:p>
            <w:pPr>
              <w:spacing w:line="300" w:lineRule="exact"/>
              <w:jc w:val="center"/>
              <w:rPr>
                <w:rFonts w:ascii="Times New Roman" w:hAnsi="Times New Roman" w:eastAsia="仿宋"/>
                <w:snapToGrid w:val="0"/>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trPr>
        <w:tc>
          <w:tcPr>
            <w:tcW w:w="76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9</w:t>
            </w:r>
          </w:p>
        </w:tc>
        <w:tc>
          <w:tcPr>
            <w:tcW w:w="4052" w:type="dxa"/>
            <w:vAlign w:val="center"/>
          </w:tcPr>
          <w:p>
            <w:pPr>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独立学院市场营销专业国际贸易实务课程教学方法探讨</w:t>
            </w:r>
          </w:p>
        </w:tc>
        <w:tc>
          <w:tcPr>
            <w:tcW w:w="240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李湘君</w:t>
            </w:r>
          </w:p>
        </w:tc>
        <w:tc>
          <w:tcPr>
            <w:tcW w:w="240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学园</w:t>
            </w:r>
          </w:p>
        </w:tc>
        <w:tc>
          <w:tcPr>
            <w:tcW w:w="2408" w:type="dxa"/>
            <w:vAlign w:val="center"/>
          </w:tcPr>
          <w:p>
            <w:pPr>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020</w:t>
            </w:r>
            <w:r>
              <w:rPr>
                <w:rFonts w:hint="eastAsia" w:ascii="Times New Roman" w:hAnsi="Times New Roman" w:eastAsia="仿宋"/>
                <w:snapToGrid w:val="0"/>
                <w:color w:val="000000"/>
                <w:sz w:val="24"/>
                <w:szCs w:val="24"/>
              </w:rPr>
              <w:t>（1</w:t>
            </w:r>
            <w:r>
              <w:rPr>
                <w:rFonts w:ascii="Times New Roman" w:hAnsi="Times New Roman" w:eastAsia="仿宋"/>
                <w:snapToGrid w:val="0"/>
                <w:color w:val="000000"/>
                <w:sz w:val="24"/>
                <w:szCs w:val="24"/>
              </w:rPr>
              <w:t>6</w:t>
            </w:r>
            <w:r>
              <w:rPr>
                <w:rFonts w:hint="eastAsia" w:ascii="Times New Roman" w:hAnsi="Times New Roman" w:eastAsia="仿宋"/>
                <w:snapToGrid w:val="0"/>
                <w:color w:val="000000"/>
                <w:sz w:val="24"/>
                <w:szCs w:val="24"/>
              </w:rPr>
              <w:t>）</w:t>
            </w:r>
          </w:p>
        </w:tc>
        <w:tc>
          <w:tcPr>
            <w:tcW w:w="2413" w:type="dxa"/>
            <w:vAlign w:val="center"/>
          </w:tcPr>
          <w:p>
            <w:pPr>
              <w:spacing w:line="300" w:lineRule="exact"/>
              <w:jc w:val="center"/>
              <w:rPr>
                <w:rFonts w:ascii="Times New Roman" w:hAnsi="Times New Roman" w:eastAsia="仿宋"/>
                <w:snapToGrid w:val="0"/>
                <w:color w:val="FF0000"/>
                <w:sz w:val="24"/>
                <w:szCs w:val="24"/>
              </w:rPr>
            </w:pPr>
          </w:p>
        </w:tc>
      </w:tr>
    </w:tbl>
    <w:p>
      <w:pPr>
        <w:widowControl w:val="0"/>
        <w:adjustRightInd/>
        <w:snapToGrid/>
        <w:spacing w:after="0" w:line="300" w:lineRule="exact"/>
        <w:ind w:left="480" w:hanging="480" w:hangingChars="200"/>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注：教研论文指该专业教师以第一署名单位发表的与本专业教学研究相关的论文，非学术研究论文。</w:t>
      </w:r>
    </w:p>
    <w:p>
      <w:pPr>
        <w:widowControl w:val="0"/>
        <w:adjustRightInd/>
        <w:snapToGrid/>
        <w:spacing w:after="0" w:line="300" w:lineRule="exact"/>
        <w:ind w:left="480" w:hanging="480" w:hangingChars="200"/>
        <w:rPr>
          <w:rFonts w:ascii="Times New Roman" w:hAnsi="Times New Roman" w:eastAsia="仿宋"/>
          <w:snapToGrid w:val="0"/>
          <w:color w:val="000000"/>
          <w:kern w:val="2"/>
          <w:sz w:val="24"/>
          <w:szCs w:val="24"/>
        </w:rPr>
      </w:pPr>
    </w:p>
    <w:p>
      <w:pPr>
        <w:widowControl w:val="0"/>
        <w:numPr>
          <w:ilvl w:val="0"/>
          <w:numId w:val="1"/>
        </w:numPr>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专业开设以来专业教师主持科研课题情况表（不超过20项）</w:t>
      </w:r>
    </w:p>
    <w:tbl>
      <w:tblPr>
        <w:tblStyle w:val="6"/>
        <w:tblW w:w="145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2"/>
        <w:gridCol w:w="3435"/>
        <w:gridCol w:w="2073"/>
        <w:gridCol w:w="2073"/>
        <w:gridCol w:w="2722"/>
        <w:gridCol w:w="2723"/>
        <w:gridCol w:w="7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0" w:hRule="atLeast"/>
          <w:tblHeader/>
        </w:trPr>
        <w:tc>
          <w:tcPr>
            <w:tcW w:w="7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序号</w:t>
            </w:r>
          </w:p>
        </w:tc>
        <w:tc>
          <w:tcPr>
            <w:tcW w:w="343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课题名称</w:t>
            </w:r>
          </w:p>
        </w:tc>
        <w:tc>
          <w:tcPr>
            <w:tcW w:w="207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主持人</w:t>
            </w:r>
          </w:p>
        </w:tc>
        <w:tc>
          <w:tcPr>
            <w:tcW w:w="207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项目类别</w:t>
            </w:r>
          </w:p>
        </w:tc>
        <w:tc>
          <w:tcPr>
            <w:tcW w:w="27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立项时间</w:t>
            </w:r>
          </w:p>
        </w:tc>
        <w:tc>
          <w:tcPr>
            <w:tcW w:w="272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立项编号</w:t>
            </w:r>
          </w:p>
        </w:tc>
        <w:tc>
          <w:tcPr>
            <w:tcW w:w="7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712"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p>
        </w:tc>
        <w:tc>
          <w:tcPr>
            <w:tcW w:w="3435"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sz w:val="24"/>
                <w:szCs w:val="24"/>
              </w:rPr>
              <w:t>基于互联网金融的广西中小微企业融资模式研究</w:t>
            </w:r>
          </w:p>
        </w:tc>
        <w:tc>
          <w:tcPr>
            <w:tcW w:w="207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sz w:val="24"/>
                <w:szCs w:val="24"/>
              </w:rPr>
              <w:t>王珍珍</w:t>
            </w:r>
          </w:p>
        </w:tc>
        <w:tc>
          <w:tcPr>
            <w:tcW w:w="207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sz w:val="24"/>
                <w:szCs w:val="24"/>
              </w:rPr>
              <w:t>市厅级</w:t>
            </w:r>
          </w:p>
        </w:tc>
        <w:tc>
          <w:tcPr>
            <w:tcW w:w="2722"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sz w:val="24"/>
                <w:szCs w:val="24"/>
              </w:rPr>
              <w:t>2</w:t>
            </w:r>
            <w:r>
              <w:rPr>
                <w:rFonts w:ascii="Times New Roman" w:hAnsi="Times New Roman" w:eastAsia="仿宋"/>
                <w:snapToGrid w:val="0"/>
                <w:sz w:val="24"/>
                <w:szCs w:val="24"/>
              </w:rPr>
              <w:t>018</w:t>
            </w:r>
            <w:r>
              <w:rPr>
                <w:rFonts w:hint="eastAsia" w:ascii="Times New Roman" w:hAnsi="Times New Roman" w:eastAsia="仿宋"/>
                <w:snapToGrid w:val="0"/>
                <w:sz w:val="24"/>
                <w:szCs w:val="24"/>
              </w:rPr>
              <w:t>年</w:t>
            </w:r>
          </w:p>
        </w:tc>
        <w:tc>
          <w:tcPr>
            <w:tcW w:w="2723" w:type="dxa"/>
            <w:vAlign w:val="center"/>
          </w:tcPr>
          <w:p>
            <w:pPr>
              <w:spacing w:line="300" w:lineRule="exact"/>
              <w:jc w:val="center"/>
              <w:rPr>
                <w:rFonts w:ascii="Times New Roman" w:hAnsi="Times New Roman" w:eastAsia="仿宋"/>
                <w:snapToGrid w:val="0"/>
                <w:color w:val="000000"/>
                <w:sz w:val="24"/>
                <w:szCs w:val="24"/>
              </w:rPr>
            </w:pPr>
            <w:r>
              <w:rPr>
                <w:rFonts w:ascii="Times New Roman" w:hAnsi="Times New Roman" w:eastAsia="仿宋"/>
                <w:snapToGrid w:val="0"/>
                <w:sz w:val="24"/>
                <w:szCs w:val="24"/>
              </w:rPr>
              <w:t>2018KY0883</w:t>
            </w:r>
          </w:p>
        </w:tc>
        <w:tc>
          <w:tcPr>
            <w:tcW w:w="778"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712" w:type="dxa"/>
            <w:vAlign w:val="center"/>
          </w:tcPr>
          <w:p>
            <w:pPr>
              <w:spacing w:line="300" w:lineRule="exact"/>
              <w:jc w:val="center"/>
              <w:rPr>
                <w:rFonts w:ascii="Times New Roman" w:hAnsi="Times New Roman" w:eastAsia="仿宋"/>
                <w:snapToGrid w:val="0"/>
                <w:color w:val="000000"/>
                <w:sz w:val="24"/>
                <w:szCs w:val="24"/>
              </w:rPr>
            </w:pPr>
            <w:r>
              <w:rPr>
                <w:rFonts w:ascii="Times New Roman" w:hAnsi="Times New Roman" w:eastAsia="仿宋"/>
                <w:snapToGrid w:val="0"/>
                <w:color w:val="000000"/>
                <w:sz w:val="24"/>
                <w:szCs w:val="24"/>
              </w:rPr>
              <w:t>2</w:t>
            </w:r>
          </w:p>
        </w:tc>
        <w:tc>
          <w:tcPr>
            <w:tcW w:w="3435"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“一带一路”背景下广西中小企业国际贸易融资策略研究</w:t>
            </w:r>
          </w:p>
        </w:tc>
        <w:tc>
          <w:tcPr>
            <w:tcW w:w="207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黄闵</w:t>
            </w:r>
          </w:p>
        </w:tc>
        <w:tc>
          <w:tcPr>
            <w:tcW w:w="207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市厅级</w:t>
            </w:r>
          </w:p>
        </w:tc>
        <w:tc>
          <w:tcPr>
            <w:tcW w:w="2722"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020</w:t>
            </w:r>
            <w:r>
              <w:rPr>
                <w:rFonts w:hint="eastAsia" w:ascii="Times New Roman" w:hAnsi="Times New Roman" w:eastAsia="仿宋"/>
                <w:snapToGrid w:val="0"/>
                <w:color w:val="000000"/>
                <w:sz w:val="24"/>
                <w:szCs w:val="24"/>
              </w:rPr>
              <w:t>年</w:t>
            </w:r>
          </w:p>
        </w:tc>
        <w:tc>
          <w:tcPr>
            <w:tcW w:w="272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020KY61021</w:t>
            </w:r>
          </w:p>
        </w:tc>
        <w:tc>
          <w:tcPr>
            <w:tcW w:w="778"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712" w:type="dxa"/>
            <w:vAlign w:val="center"/>
          </w:tcPr>
          <w:p>
            <w:pPr>
              <w:spacing w:line="300" w:lineRule="exact"/>
              <w:jc w:val="center"/>
              <w:rPr>
                <w:rFonts w:ascii="Times New Roman" w:hAnsi="Times New Roman" w:eastAsia="仿宋"/>
                <w:snapToGrid w:val="0"/>
                <w:color w:val="000000"/>
                <w:sz w:val="24"/>
                <w:szCs w:val="24"/>
              </w:rPr>
            </w:pPr>
            <w:r>
              <w:rPr>
                <w:rFonts w:ascii="Times New Roman" w:hAnsi="Times New Roman" w:eastAsia="仿宋"/>
                <w:snapToGrid w:val="0"/>
                <w:color w:val="000000"/>
                <w:sz w:val="24"/>
                <w:szCs w:val="24"/>
              </w:rPr>
              <w:t>3</w:t>
            </w:r>
          </w:p>
        </w:tc>
        <w:tc>
          <w:tcPr>
            <w:tcW w:w="3435"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sz w:val="24"/>
                <w:szCs w:val="24"/>
              </w:rPr>
              <w:t>互联网金融安全体系构建研究</w:t>
            </w:r>
          </w:p>
        </w:tc>
        <w:tc>
          <w:tcPr>
            <w:tcW w:w="207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sz w:val="24"/>
                <w:szCs w:val="24"/>
              </w:rPr>
              <w:t>王珍珍</w:t>
            </w:r>
          </w:p>
        </w:tc>
        <w:tc>
          <w:tcPr>
            <w:tcW w:w="207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sz w:val="24"/>
                <w:szCs w:val="24"/>
              </w:rPr>
              <w:t>校级科研</w:t>
            </w:r>
          </w:p>
        </w:tc>
        <w:tc>
          <w:tcPr>
            <w:tcW w:w="2722"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sz w:val="24"/>
                <w:szCs w:val="24"/>
              </w:rPr>
              <w:t>2</w:t>
            </w:r>
            <w:r>
              <w:rPr>
                <w:rFonts w:ascii="Times New Roman" w:hAnsi="Times New Roman" w:eastAsia="仿宋"/>
                <w:snapToGrid w:val="0"/>
                <w:sz w:val="24"/>
                <w:szCs w:val="24"/>
              </w:rPr>
              <w:t>017</w:t>
            </w:r>
            <w:r>
              <w:rPr>
                <w:rFonts w:hint="eastAsia" w:ascii="Times New Roman" w:hAnsi="Times New Roman" w:eastAsia="仿宋"/>
                <w:snapToGrid w:val="0"/>
                <w:sz w:val="24"/>
                <w:szCs w:val="24"/>
              </w:rPr>
              <w:t>年</w:t>
            </w:r>
          </w:p>
        </w:tc>
        <w:tc>
          <w:tcPr>
            <w:tcW w:w="2723" w:type="dxa"/>
            <w:vAlign w:val="center"/>
          </w:tcPr>
          <w:p>
            <w:pPr>
              <w:spacing w:line="300" w:lineRule="exact"/>
              <w:jc w:val="center"/>
              <w:rPr>
                <w:rFonts w:ascii="Times New Roman" w:hAnsi="Times New Roman" w:eastAsia="仿宋"/>
                <w:snapToGrid w:val="0"/>
                <w:color w:val="000000"/>
                <w:sz w:val="24"/>
                <w:szCs w:val="24"/>
              </w:rPr>
            </w:pPr>
            <w:r>
              <w:rPr>
                <w:rFonts w:ascii="Times New Roman" w:hAnsi="Times New Roman" w:eastAsia="仿宋"/>
                <w:snapToGrid w:val="0"/>
                <w:sz w:val="24"/>
                <w:szCs w:val="24"/>
              </w:rPr>
              <w:t>2016KY02</w:t>
            </w:r>
          </w:p>
        </w:tc>
        <w:tc>
          <w:tcPr>
            <w:tcW w:w="778"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712"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4</w:t>
            </w:r>
          </w:p>
        </w:tc>
        <w:tc>
          <w:tcPr>
            <w:tcW w:w="3435"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基于</w:t>
            </w:r>
            <w:r>
              <w:rPr>
                <w:rFonts w:ascii="Times New Roman" w:hAnsi="Times New Roman" w:eastAsia="仿宋"/>
                <w:snapToGrid w:val="0"/>
                <w:color w:val="000000"/>
                <w:sz w:val="24"/>
                <w:szCs w:val="24"/>
              </w:rPr>
              <w:t>钻石理论分析广西推进</w:t>
            </w:r>
            <w:r>
              <w:rPr>
                <w:rFonts w:hint="eastAsia" w:ascii="Times New Roman" w:hAnsi="Times New Roman" w:eastAsia="仿宋"/>
                <w:snapToGrid w:val="0"/>
                <w:color w:val="000000"/>
                <w:sz w:val="24"/>
                <w:szCs w:val="24"/>
              </w:rPr>
              <w:t>沿边</w:t>
            </w:r>
            <w:r>
              <w:rPr>
                <w:rFonts w:ascii="Times New Roman" w:hAnsi="Times New Roman" w:eastAsia="仿宋"/>
                <w:snapToGrid w:val="0"/>
                <w:color w:val="000000"/>
                <w:sz w:val="24"/>
                <w:szCs w:val="24"/>
              </w:rPr>
              <w:t>开发开放</w:t>
            </w:r>
            <w:r>
              <w:rPr>
                <w:rFonts w:hint="eastAsia" w:ascii="Times New Roman" w:hAnsi="Times New Roman" w:eastAsia="仿宋"/>
                <w:snapToGrid w:val="0"/>
                <w:color w:val="000000"/>
                <w:sz w:val="24"/>
                <w:szCs w:val="24"/>
              </w:rPr>
              <w:t>经济带</w:t>
            </w:r>
            <w:r>
              <w:rPr>
                <w:rFonts w:ascii="Times New Roman" w:hAnsi="Times New Roman" w:eastAsia="仿宋"/>
                <w:snapToGrid w:val="0"/>
                <w:color w:val="000000"/>
                <w:sz w:val="24"/>
                <w:szCs w:val="24"/>
              </w:rPr>
              <w:t>建设问题</w:t>
            </w:r>
          </w:p>
        </w:tc>
        <w:tc>
          <w:tcPr>
            <w:tcW w:w="207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李湘君</w:t>
            </w:r>
          </w:p>
        </w:tc>
        <w:tc>
          <w:tcPr>
            <w:tcW w:w="207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市厅级</w:t>
            </w:r>
          </w:p>
        </w:tc>
        <w:tc>
          <w:tcPr>
            <w:tcW w:w="2722"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2018年</w:t>
            </w:r>
          </w:p>
        </w:tc>
        <w:tc>
          <w:tcPr>
            <w:tcW w:w="272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2018KY0884</w:t>
            </w:r>
          </w:p>
        </w:tc>
        <w:tc>
          <w:tcPr>
            <w:tcW w:w="778"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712"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5</w:t>
            </w:r>
          </w:p>
        </w:tc>
        <w:tc>
          <w:tcPr>
            <w:tcW w:w="3435"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“一带一路”倡议下广西民族地区经济发展的策略研究</w:t>
            </w:r>
          </w:p>
        </w:tc>
        <w:tc>
          <w:tcPr>
            <w:tcW w:w="207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钟明容</w:t>
            </w:r>
          </w:p>
        </w:tc>
        <w:tc>
          <w:tcPr>
            <w:tcW w:w="207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市厅级</w:t>
            </w:r>
          </w:p>
        </w:tc>
        <w:tc>
          <w:tcPr>
            <w:tcW w:w="2722" w:type="dxa"/>
            <w:vAlign w:val="center"/>
          </w:tcPr>
          <w:p>
            <w:pPr>
              <w:spacing w:line="300" w:lineRule="exact"/>
              <w:jc w:val="center"/>
              <w:rPr>
                <w:rFonts w:hint="eastAsia" w:ascii="Times New Roman" w:hAnsi="Times New Roman" w:eastAsia="仿宋"/>
                <w:snapToGrid w:val="0"/>
                <w:color w:val="000000"/>
                <w:sz w:val="24"/>
                <w:szCs w:val="24"/>
                <w:lang w:val="en-US" w:eastAsia="zh-CN"/>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020</w:t>
            </w:r>
            <w:r>
              <w:rPr>
                <w:rFonts w:hint="eastAsia" w:ascii="Times New Roman" w:hAnsi="Times New Roman" w:eastAsia="仿宋"/>
                <w:snapToGrid w:val="0"/>
                <w:color w:val="000000"/>
                <w:sz w:val="24"/>
                <w:szCs w:val="24"/>
                <w:lang w:val="en-US" w:eastAsia="zh-CN"/>
              </w:rPr>
              <w:t>年</w:t>
            </w:r>
          </w:p>
        </w:tc>
        <w:tc>
          <w:tcPr>
            <w:tcW w:w="272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020KY61002</w:t>
            </w:r>
          </w:p>
        </w:tc>
        <w:tc>
          <w:tcPr>
            <w:tcW w:w="778"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712"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6</w:t>
            </w:r>
          </w:p>
        </w:tc>
        <w:tc>
          <w:tcPr>
            <w:tcW w:w="3435"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广西推进“一带一路”建设深入研究</w:t>
            </w:r>
          </w:p>
        </w:tc>
        <w:tc>
          <w:tcPr>
            <w:tcW w:w="207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钟明容</w:t>
            </w:r>
          </w:p>
        </w:tc>
        <w:tc>
          <w:tcPr>
            <w:tcW w:w="207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市厅级</w:t>
            </w:r>
          </w:p>
        </w:tc>
        <w:tc>
          <w:tcPr>
            <w:tcW w:w="2722"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2016年</w:t>
            </w:r>
          </w:p>
        </w:tc>
        <w:tc>
          <w:tcPr>
            <w:tcW w:w="272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KY2016YB849</w:t>
            </w:r>
          </w:p>
        </w:tc>
        <w:tc>
          <w:tcPr>
            <w:tcW w:w="77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已结题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712"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7</w:t>
            </w:r>
          </w:p>
        </w:tc>
        <w:tc>
          <w:tcPr>
            <w:tcW w:w="3435"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“一带一路”下广西物流产业竞争力提升研究</w:t>
            </w:r>
          </w:p>
        </w:tc>
        <w:tc>
          <w:tcPr>
            <w:tcW w:w="207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刘忠萍</w:t>
            </w:r>
          </w:p>
        </w:tc>
        <w:tc>
          <w:tcPr>
            <w:tcW w:w="207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市厅级</w:t>
            </w:r>
          </w:p>
        </w:tc>
        <w:tc>
          <w:tcPr>
            <w:tcW w:w="2722"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2018年</w:t>
            </w:r>
          </w:p>
        </w:tc>
        <w:tc>
          <w:tcPr>
            <w:tcW w:w="272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2018KY0885</w:t>
            </w:r>
          </w:p>
        </w:tc>
        <w:tc>
          <w:tcPr>
            <w:tcW w:w="77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已结题</w:t>
            </w:r>
          </w:p>
        </w:tc>
      </w:tr>
    </w:tbl>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注：科研课题是指本专业教师以第一立项单位主持完成（或在研）的科研项目。</w:t>
      </w:r>
    </w:p>
    <w:p>
      <w:pPr>
        <w:widowControl w:val="0"/>
        <w:adjustRightInd/>
        <w:snapToGrid/>
        <w:spacing w:after="0" w:line="300" w:lineRule="exact"/>
        <w:ind w:left="440" w:leftChars="200"/>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项目类别包括国家级、省部级、市厅级，具体标准参见自治区专业技术资格评审条件中的相关解释。</w:t>
      </w:r>
    </w:p>
    <w:p>
      <w:pPr>
        <w:widowControl w:val="0"/>
        <w:adjustRightInd/>
        <w:snapToGrid/>
        <w:spacing w:after="0" w:line="300" w:lineRule="exact"/>
        <w:ind w:left="440" w:leftChars="200"/>
        <w:rPr>
          <w:rFonts w:ascii="Times New Roman" w:hAnsi="Times New Roman" w:eastAsia="仿宋"/>
          <w:snapToGrid w:val="0"/>
          <w:color w:val="000000"/>
          <w:kern w:val="2"/>
          <w:sz w:val="24"/>
          <w:szCs w:val="24"/>
        </w:rPr>
      </w:pP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7. 专业开设以来专业教师获得省部级以上科研奖励情况表（不超过20项）</w:t>
      </w:r>
    </w:p>
    <w:tbl>
      <w:tblPr>
        <w:tblStyle w:val="6"/>
        <w:tblW w:w="146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3"/>
        <w:gridCol w:w="1722"/>
        <w:gridCol w:w="1329"/>
        <w:gridCol w:w="1331"/>
        <w:gridCol w:w="1470"/>
        <w:gridCol w:w="2081"/>
        <w:gridCol w:w="1218"/>
        <w:gridCol w:w="1187"/>
        <w:gridCol w:w="2715"/>
        <w:gridCol w:w="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2" w:hRule="atLeast"/>
        </w:trPr>
        <w:tc>
          <w:tcPr>
            <w:tcW w:w="88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序号</w:t>
            </w:r>
          </w:p>
        </w:tc>
        <w:tc>
          <w:tcPr>
            <w:tcW w:w="17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成果名称</w:t>
            </w:r>
          </w:p>
        </w:tc>
        <w:tc>
          <w:tcPr>
            <w:tcW w:w="132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获奖人</w:t>
            </w:r>
          </w:p>
        </w:tc>
        <w:tc>
          <w:tcPr>
            <w:tcW w:w="133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完成单位排名</w:t>
            </w:r>
          </w:p>
        </w:tc>
        <w:tc>
          <w:tcPr>
            <w:tcW w:w="147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获奖人排名</w:t>
            </w:r>
          </w:p>
        </w:tc>
        <w:tc>
          <w:tcPr>
            <w:tcW w:w="208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获奖类别</w:t>
            </w:r>
          </w:p>
        </w:tc>
        <w:tc>
          <w:tcPr>
            <w:tcW w:w="12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获奖等级</w:t>
            </w:r>
          </w:p>
        </w:tc>
        <w:tc>
          <w:tcPr>
            <w:tcW w:w="118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获奖时间</w:t>
            </w:r>
          </w:p>
        </w:tc>
        <w:tc>
          <w:tcPr>
            <w:tcW w:w="271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获奖证书编号</w:t>
            </w:r>
          </w:p>
        </w:tc>
        <w:tc>
          <w:tcPr>
            <w:tcW w:w="75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rPr>
        <w:tc>
          <w:tcPr>
            <w:tcW w:w="88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p>
        </w:tc>
        <w:tc>
          <w:tcPr>
            <w:tcW w:w="1722"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p>
        </w:tc>
        <w:tc>
          <w:tcPr>
            <w:tcW w:w="1329"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p>
        </w:tc>
        <w:tc>
          <w:tcPr>
            <w:tcW w:w="1331"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p>
        </w:tc>
        <w:tc>
          <w:tcPr>
            <w:tcW w:w="1470"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p>
        </w:tc>
        <w:tc>
          <w:tcPr>
            <w:tcW w:w="2081"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p>
        </w:tc>
        <w:tc>
          <w:tcPr>
            <w:tcW w:w="1218"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p>
        </w:tc>
        <w:tc>
          <w:tcPr>
            <w:tcW w:w="1187"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p>
        </w:tc>
        <w:tc>
          <w:tcPr>
            <w:tcW w:w="2715"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p>
        </w:tc>
        <w:tc>
          <w:tcPr>
            <w:tcW w:w="75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rPr>
        <w:tc>
          <w:tcPr>
            <w:tcW w:w="88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w:t>
            </w:r>
          </w:p>
        </w:tc>
        <w:tc>
          <w:tcPr>
            <w:tcW w:w="17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32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33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47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08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2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18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71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75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rPr>
        <w:tc>
          <w:tcPr>
            <w:tcW w:w="88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w:t>
            </w:r>
          </w:p>
        </w:tc>
        <w:tc>
          <w:tcPr>
            <w:tcW w:w="17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32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33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47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08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2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18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71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75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bl>
    <w:p>
      <w:pPr>
        <w:widowControl w:val="0"/>
        <w:adjustRightInd/>
        <w:snapToGrid/>
        <w:spacing w:after="0" w:line="300" w:lineRule="exact"/>
        <w:rPr>
          <w:rFonts w:ascii="Times New Roman" w:hAnsi="Times New Roman" w:eastAsia="仿宋"/>
          <w:snapToGrid w:val="0"/>
          <w:color w:val="000000"/>
          <w:kern w:val="2"/>
          <w:sz w:val="28"/>
          <w:szCs w:val="28"/>
        </w:rPr>
      </w:pP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8. 专业开设以来专业教师发表代表性学术论文情况表（不超过20篇）</w:t>
      </w:r>
    </w:p>
    <w:tbl>
      <w:tblPr>
        <w:tblStyle w:val="6"/>
        <w:tblW w:w="147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4"/>
        <w:gridCol w:w="3134"/>
        <w:gridCol w:w="2113"/>
        <w:gridCol w:w="2113"/>
        <w:gridCol w:w="2113"/>
        <w:gridCol w:w="2116"/>
        <w:gridCol w:w="21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11" w:hRule="atLeast"/>
          <w:tblHeader/>
        </w:trPr>
        <w:tc>
          <w:tcPr>
            <w:tcW w:w="109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序号</w:t>
            </w:r>
          </w:p>
        </w:tc>
        <w:tc>
          <w:tcPr>
            <w:tcW w:w="313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论文名称</w:t>
            </w:r>
          </w:p>
        </w:tc>
        <w:tc>
          <w:tcPr>
            <w:tcW w:w="211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第一作者</w:t>
            </w:r>
          </w:p>
        </w:tc>
        <w:tc>
          <w:tcPr>
            <w:tcW w:w="211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发表期刊</w:t>
            </w:r>
          </w:p>
        </w:tc>
        <w:tc>
          <w:tcPr>
            <w:tcW w:w="211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发表时间</w:t>
            </w:r>
          </w:p>
        </w:tc>
        <w:tc>
          <w:tcPr>
            <w:tcW w:w="211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他引次数</w:t>
            </w:r>
          </w:p>
        </w:tc>
        <w:tc>
          <w:tcPr>
            <w:tcW w:w="211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p>
        </w:tc>
        <w:tc>
          <w:tcPr>
            <w:tcW w:w="313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新形势下涉外中小企业汇率风险管理分析</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ascii="Times New Roman" w:hAnsi="Times New Roman" w:eastAsia="仿宋"/>
                <w:snapToGrid w:val="0"/>
                <w:color w:val="000000"/>
                <w:sz w:val="24"/>
                <w:szCs w:val="24"/>
              </w:rPr>
              <w:t>王珍珍</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广西质量监督导报</w:t>
            </w:r>
          </w:p>
        </w:tc>
        <w:tc>
          <w:tcPr>
            <w:tcW w:w="2113" w:type="dxa"/>
            <w:vAlign w:val="center"/>
          </w:tcPr>
          <w:p>
            <w:pPr>
              <w:spacing w:line="300" w:lineRule="exact"/>
              <w:jc w:val="center"/>
              <w:rPr>
                <w:rFonts w:hint="eastAsia" w:ascii="Times New Roman" w:hAnsi="Times New Roman" w:eastAsia="仿宋"/>
                <w:snapToGrid w:val="0"/>
                <w:color w:val="000000"/>
                <w:sz w:val="24"/>
                <w:szCs w:val="24"/>
                <w:lang w:eastAsia="zh-CN"/>
              </w:rPr>
            </w:pPr>
            <w:r>
              <w:rPr>
                <w:rFonts w:ascii="Times New Roman" w:hAnsi="Times New Roman" w:eastAsia="仿宋"/>
                <w:snapToGrid w:val="0"/>
                <w:color w:val="000000"/>
                <w:sz w:val="24"/>
                <w:szCs w:val="24"/>
              </w:rPr>
              <w:t>2019</w:t>
            </w:r>
            <w:r>
              <w:rPr>
                <w:rFonts w:hint="eastAsia" w:ascii="Times New Roman" w:hAnsi="Times New Roman" w:eastAsia="仿宋"/>
                <w:snapToGrid w:val="0"/>
                <w:color w:val="000000"/>
                <w:sz w:val="24"/>
                <w:szCs w:val="24"/>
                <w:lang w:eastAsia="zh-CN"/>
              </w:rPr>
              <w:t>（</w:t>
            </w:r>
            <w:r>
              <w:rPr>
                <w:rFonts w:hint="eastAsia" w:ascii="Times New Roman" w:hAnsi="Times New Roman" w:eastAsia="仿宋"/>
                <w:snapToGrid w:val="0"/>
                <w:color w:val="000000"/>
                <w:sz w:val="24"/>
                <w:szCs w:val="24"/>
                <w:lang w:val="en-US" w:eastAsia="zh-CN"/>
              </w:rPr>
              <w:t>03</w:t>
            </w:r>
            <w:r>
              <w:rPr>
                <w:rFonts w:hint="eastAsia" w:ascii="Times New Roman" w:hAnsi="Times New Roman" w:eastAsia="仿宋"/>
                <w:snapToGrid w:val="0"/>
                <w:color w:val="000000"/>
                <w:sz w:val="24"/>
                <w:szCs w:val="24"/>
                <w:lang w:eastAsia="zh-CN"/>
              </w:rPr>
              <w:t>）</w:t>
            </w:r>
          </w:p>
        </w:tc>
        <w:tc>
          <w:tcPr>
            <w:tcW w:w="2116"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0</w:t>
            </w:r>
          </w:p>
        </w:tc>
        <w:tc>
          <w:tcPr>
            <w:tcW w:w="2114"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4"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p>
        </w:tc>
        <w:tc>
          <w:tcPr>
            <w:tcW w:w="313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“一带一路”背景下广西外贸企业进出口业务风险及防范分析</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ascii="Times New Roman" w:hAnsi="Times New Roman" w:eastAsia="仿宋"/>
                <w:snapToGrid w:val="0"/>
                <w:color w:val="000000"/>
                <w:sz w:val="24"/>
                <w:szCs w:val="24"/>
              </w:rPr>
              <w:t>王珍珍</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时代商贸工业</w:t>
            </w:r>
          </w:p>
        </w:tc>
        <w:tc>
          <w:tcPr>
            <w:tcW w:w="2113" w:type="dxa"/>
            <w:vAlign w:val="center"/>
          </w:tcPr>
          <w:p>
            <w:pPr>
              <w:spacing w:line="300" w:lineRule="exact"/>
              <w:jc w:val="center"/>
              <w:rPr>
                <w:rFonts w:hint="eastAsia" w:ascii="Times New Roman" w:hAnsi="Times New Roman" w:eastAsia="仿宋"/>
                <w:snapToGrid w:val="0"/>
                <w:color w:val="000000"/>
                <w:sz w:val="24"/>
                <w:szCs w:val="24"/>
                <w:lang w:eastAsia="zh-CN"/>
              </w:rPr>
            </w:pPr>
            <w:r>
              <w:rPr>
                <w:rFonts w:ascii="Times New Roman" w:hAnsi="Times New Roman" w:eastAsia="仿宋"/>
                <w:snapToGrid w:val="0"/>
                <w:color w:val="000000"/>
                <w:sz w:val="24"/>
                <w:szCs w:val="24"/>
              </w:rPr>
              <w:t>2019</w:t>
            </w:r>
            <w:r>
              <w:rPr>
                <w:rFonts w:hint="eastAsia" w:ascii="Times New Roman" w:hAnsi="Times New Roman" w:eastAsia="仿宋"/>
                <w:snapToGrid w:val="0"/>
                <w:color w:val="000000"/>
                <w:sz w:val="24"/>
                <w:szCs w:val="24"/>
                <w:lang w:eastAsia="zh-CN"/>
              </w:rPr>
              <w:t>（</w:t>
            </w:r>
            <w:r>
              <w:rPr>
                <w:rFonts w:hint="eastAsia" w:ascii="Times New Roman" w:hAnsi="Times New Roman" w:eastAsia="仿宋"/>
                <w:snapToGrid w:val="0"/>
                <w:color w:val="000000"/>
                <w:sz w:val="24"/>
                <w:szCs w:val="24"/>
                <w:lang w:val="en-US" w:eastAsia="zh-CN"/>
              </w:rPr>
              <w:t>20</w:t>
            </w:r>
            <w:r>
              <w:rPr>
                <w:rFonts w:hint="eastAsia" w:ascii="Times New Roman" w:hAnsi="Times New Roman" w:eastAsia="仿宋"/>
                <w:snapToGrid w:val="0"/>
                <w:color w:val="000000"/>
                <w:sz w:val="24"/>
                <w:szCs w:val="24"/>
                <w:lang w:eastAsia="zh-CN"/>
              </w:rPr>
              <w:t>）</w:t>
            </w:r>
          </w:p>
        </w:tc>
        <w:tc>
          <w:tcPr>
            <w:tcW w:w="2116"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p>
        </w:tc>
        <w:tc>
          <w:tcPr>
            <w:tcW w:w="2114"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3</w:t>
            </w:r>
          </w:p>
        </w:tc>
        <w:tc>
          <w:tcPr>
            <w:tcW w:w="313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广西沿边跨境人民币业务发展分析</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李湘君</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对外经贸</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020</w:t>
            </w:r>
            <w:r>
              <w:rPr>
                <w:rFonts w:hint="eastAsia" w:ascii="Times New Roman" w:hAnsi="Times New Roman" w:eastAsia="仿宋"/>
                <w:snapToGrid w:val="0"/>
                <w:color w:val="000000"/>
                <w:sz w:val="24"/>
                <w:szCs w:val="24"/>
              </w:rPr>
              <w:t>年6月</w:t>
            </w:r>
          </w:p>
        </w:tc>
        <w:tc>
          <w:tcPr>
            <w:tcW w:w="2116" w:type="dxa"/>
            <w:vAlign w:val="center"/>
          </w:tcPr>
          <w:p>
            <w:pPr>
              <w:spacing w:line="300" w:lineRule="exact"/>
              <w:jc w:val="center"/>
              <w:rPr>
                <w:rFonts w:ascii="Times New Roman" w:hAnsi="Times New Roman" w:eastAsia="仿宋"/>
                <w:snapToGrid w:val="0"/>
                <w:color w:val="000000"/>
                <w:sz w:val="24"/>
                <w:szCs w:val="24"/>
              </w:rPr>
            </w:pPr>
          </w:p>
        </w:tc>
        <w:tc>
          <w:tcPr>
            <w:tcW w:w="2114"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4</w:t>
            </w:r>
          </w:p>
        </w:tc>
        <w:tc>
          <w:tcPr>
            <w:tcW w:w="313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新形势下广西推进“一带一路”建设的SWOT分析及对策建议</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钟明容</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对外经贸</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2017年10月</w:t>
            </w:r>
          </w:p>
        </w:tc>
        <w:tc>
          <w:tcPr>
            <w:tcW w:w="2116"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p>
        </w:tc>
        <w:tc>
          <w:tcPr>
            <w:tcW w:w="2114"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5</w:t>
            </w:r>
          </w:p>
        </w:tc>
        <w:tc>
          <w:tcPr>
            <w:tcW w:w="313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广西参与“一带一路”建设的钻石模型竞争力分析及策略</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钟明容</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中国经贸导刊</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2017年7月</w:t>
            </w:r>
          </w:p>
        </w:tc>
        <w:tc>
          <w:tcPr>
            <w:tcW w:w="2116"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p>
        </w:tc>
        <w:tc>
          <w:tcPr>
            <w:tcW w:w="2114"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6</w:t>
            </w:r>
          </w:p>
        </w:tc>
        <w:tc>
          <w:tcPr>
            <w:tcW w:w="313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西部陆海新通道高水平、高质量发展研究文献综述</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钟明容</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物流科技</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019</w:t>
            </w:r>
            <w:r>
              <w:rPr>
                <w:rFonts w:hint="eastAsia" w:ascii="Times New Roman" w:hAnsi="Times New Roman" w:eastAsia="仿宋"/>
                <w:snapToGrid w:val="0"/>
                <w:color w:val="000000"/>
                <w:sz w:val="24"/>
                <w:szCs w:val="24"/>
              </w:rPr>
              <w:t>（8）</w:t>
            </w:r>
          </w:p>
        </w:tc>
        <w:tc>
          <w:tcPr>
            <w:tcW w:w="2116"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0</w:t>
            </w:r>
          </w:p>
        </w:tc>
        <w:tc>
          <w:tcPr>
            <w:tcW w:w="2114"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7</w:t>
            </w:r>
          </w:p>
        </w:tc>
        <w:tc>
          <w:tcPr>
            <w:tcW w:w="313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广西面向东盟提供法律服务的机遇与挑战分析——基于一带一路视角下</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钟明容</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北方经贸</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020</w:t>
            </w:r>
            <w:r>
              <w:rPr>
                <w:rFonts w:hint="eastAsia" w:ascii="Times New Roman" w:hAnsi="Times New Roman" w:eastAsia="仿宋"/>
                <w:snapToGrid w:val="0"/>
                <w:color w:val="000000"/>
                <w:sz w:val="24"/>
                <w:szCs w:val="24"/>
              </w:rPr>
              <w:t>（1）</w:t>
            </w:r>
          </w:p>
        </w:tc>
        <w:tc>
          <w:tcPr>
            <w:tcW w:w="2116" w:type="dxa"/>
            <w:vAlign w:val="center"/>
          </w:tcPr>
          <w:p>
            <w:pPr>
              <w:spacing w:line="300" w:lineRule="exact"/>
              <w:jc w:val="center"/>
              <w:rPr>
                <w:rFonts w:ascii="Times New Roman" w:hAnsi="Times New Roman" w:eastAsia="仿宋"/>
                <w:snapToGrid w:val="0"/>
                <w:color w:val="000000"/>
                <w:sz w:val="24"/>
                <w:szCs w:val="24"/>
              </w:rPr>
            </w:pPr>
          </w:p>
        </w:tc>
        <w:tc>
          <w:tcPr>
            <w:tcW w:w="2114"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8</w:t>
            </w:r>
          </w:p>
        </w:tc>
        <w:tc>
          <w:tcPr>
            <w:tcW w:w="313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一带一路倡议下中国与印尼的产业内贸易及其影响因素研究</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钟明容</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中国经贸导刊</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020</w:t>
            </w:r>
            <w:r>
              <w:rPr>
                <w:rFonts w:hint="eastAsia" w:ascii="Times New Roman" w:hAnsi="Times New Roman" w:eastAsia="仿宋"/>
                <w:snapToGrid w:val="0"/>
                <w:color w:val="000000"/>
                <w:sz w:val="24"/>
                <w:szCs w:val="24"/>
              </w:rPr>
              <w:t>年6月</w:t>
            </w:r>
          </w:p>
        </w:tc>
        <w:tc>
          <w:tcPr>
            <w:tcW w:w="2116" w:type="dxa"/>
            <w:vAlign w:val="center"/>
          </w:tcPr>
          <w:p>
            <w:pPr>
              <w:spacing w:line="300" w:lineRule="exact"/>
              <w:jc w:val="center"/>
              <w:rPr>
                <w:rFonts w:ascii="Times New Roman" w:hAnsi="Times New Roman" w:eastAsia="仿宋"/>
                <w:snapToGrid w:val="0"/>
                <w:color w:val="000000"/>
                <w:sz w:val="24"/>
                <w:szCs w:val="24"/>
              </w:rPr>
            </w:pPr>
          </w:p>
        </w:tc>
        <w:tc>
          <w:tcPr>
            <w:tcW w:w="2114"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9</w:t>
            </w:r>
          </w:p>
        </w:tc>
        <w:tc>
          <w:tcPr>
            <w:tcW w:w="313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日本“东珠”争夺中国“南珠”国内外市场的不正当手法与应吸取的教训</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李德正</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对外经贸实务</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017</w:t>
            </w:r>
            <w:r>
              <w:rPr>
                <w:rFonts w:hint="eastAsia" w:ascii="Times New Roman" w:hAnsi="Times New Roman" w:eastAsia="仿宋"/>
                <w:snapToGrid w:val="0"/>
                <w:color w:val="000000"/>
                <w:sz w:val="24"/>
                <w:szCs w:val="24"/>
              </w:rPr>
              <w:t>（1）</w:t>
            </w:r>
          </w:p>
        </w:tc>
        <w:tc>
          <w:tcPr>
            <w:tcW w:w="2116" w:type="dxa"/>
            <w:vAlign w:val="center"/>
          </w:tcPr>
          <w:p>
            <w:pPr>
              <w:spacing w:line="300" w:lineRule="exact"/>
              <w:jc w:val="center"/>
              <w:rPr>
                <w:rFonts w:ascii="Times New Roman" w:hAnsi="Times New Roman" w:eastAsia="仿宋"/>
                <w:snapToGrid w:val="0"/>
                <w:color w:val="000000"/>
                <w:sz w:val="24"/>
                <w:szCs w:val="24"/>
              </w:rPr>
            </w:pPr>
            <w:r>
              <w:rPr>
                <w:rFonts w:ascii="Times New Roman" w:hAnsi="Times New Roman" w:eastAsia="仿宋"/>
                <w:snapToGrid w:val="0"/>
                <w:color w:val="000000"/>
                <w:sz w:val="24"/>
                <w:szCs w:val="24"/>
              </w:rPr>
              <w:t>0</w:t>
            </w:r>
          </w:p>
        </w:tc>
        <w:tc>
          <w:tcPr>
            <w:tcW w:w="211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全国中文核心期刊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r>
              <w:rPr>
                <w:rFonts w:ascii="Times New Roman" w:hAnsi="Times New Roman" w:eastAsia="仿宋"/>
                <w:snapToGrid w:val="0"/>
                <w:color w:val="000000"/>
                <w:sz w:val="24"/>
                <w:szCs w:val="24"/>
              </w:rPr>
              <w:t>0</w:t>
            </w:r>
          </w:p>
        </w:tc>
        <w:tc>
          <w:tcPr>
            <w:tcW w:w="313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船代外勤在操作中常见的低效率原因及业务提升——以“新雅”轮进出钦州港为例</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李德正</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对外经贸实务</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017</w:t>
            </w:r>
            <w:r>
              <w:rPr>
                <w:rFonts w:hint="eastAsia" w:ascii="Times New Roman" w:hAnsi="Times New Roman" w:eastAsia="仿宋"/>
                <w:snapToGrid w:val="0"/>
                <w:color w:val="000000"/>
                <w:sz w:val="24"/>
                <w:szCs w:val="24"/>
              </w:rPr>
              <w:t>（3）</w:t>
            </w:r>
          </w:p>
        </w:tc>
        <w:tc>
          <w:tcPr>
            <w:tcW w:w="2116"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0</w:t>
            </w:r>
          </w:p>
        </w:tc>
        <w:tc>
          <w:tcPr>
            <w:tcW w:w="211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全国中文核心期刊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r>
              <w:rPr>
                <w:rFonts w:ascii="Times New Roman" w:hAnsi="Times New Roman" w:eastAsia="仿宋"/>
                <w:snapToGrid w:val="0"/>
                <w:color w:val="000000"/>
                <w:sz w:val="24"/>
                <w:szCs w:val="24"/>
              </w:rPr>
              <w:t>1</w:t>
            </w:r>
          </w:p>
        </w:tc>
        <w:tc>
          <w:tcPr>
            <w:tcW w:w="313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“一带一路”下广西物流产业竞争力SWOT分析</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刘忠萍</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物流科技</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2018年12月</w:t>
            </w:r>
          </w:p>
        </w:tc>
        <w:tc>
          <w:tcPr>
            <w:tcW w:w="2116"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0</w:t>
            </w:r>
          </w:p>
        </w:tc>
        <w:tc>
          <w:tcPr>
            <w:tcW w:w="2114"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r>
              <w:rPr>
                <w:rFonts w:ascii="Times New Roman" w:hAnsi="Times New Roman" w:eastAsia="仿宋"/>
                <w:snapToGrid w:val="0"/>
                <w:color w:val="000000"/>
                <w:sz w:val="24"/>
                <w:szCs w:val="24"/>
              </w:rPr>
              <w:t>2</w:t>
            </w:r>
          </w:p>
        </w:tc>
        <w:tc>
          <w:tcPr>
            <w:tcW w:w="313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“一带一路”倡议下区域物流产业竞争力评价及对广西的启示</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刘忠萍</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对外经贸</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2019年7月</w:t>
            </w:r>
          </w:p>
        </w:tc>
        <w:tc>
          <w:tcPr>
            <w:tcW w:w="2116"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0</w:t>
            </w:r>
          </w:p>
        </w:tc>
        <w:tc>
          <w:tcPr>
            <w:tcW w:w="2114"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r>
              <w:rPr>
                <w:rFonts w:ascii="Times New Roman" w:hAnsi="Times New Roman" w:eastAsia="仿宋"/>
                <w:snapToGrid w:val="0"/>
                <w:color w:val="000000"/>
                <w:sz w:val="24"/>
                <w:szCs w:val="24"/>
              </w:rPr>
              <w:t>3</w:t>
            </w:r>
          </w:p>
        </w:tc>
        <w:tc>
          <w:tcPr>
            <w:tcW w:w="313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陆海新通道下广西物流发展新机遇与建议</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刘忠萍</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市场论坛</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2019年11月</w:t>
            </w:r>
          </w:p>
        </w:tc>
        <w:tc>
          <w:tcPr>
            <w:tcW w:w="2116"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0</w:t>
            </w:r>
          </w:p>
        </w:tc>
        <w:tc>
          <w:tcPr>
            <w:tcW w:w="2114"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r>
              <w:rPr>
                <w:rFonts w:ascii="Times New Roman" w:hAnsi="Times New Roman" w:eastAsia="仿宋"/>
                <w:snapToGrid w:val="0"/>
                <w:color w:val="000000"/>
                <w:sz w:val="24"/>
                <w:szCs w:val="24"/>
              </w:rPr>
              <w:t>4</w:t>
            </w:r>
          </w:p>
        </w:tc>
        <w:tc>
          <w:tcPr>
            <w:tcW w:w="313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中国</w:t>
            </w:r>
            <w:r>
              <w:rPr>
                <w:rFonts w:ascii="Times New Roman" w:hAnsi="Times New Roman" w:eastAsia="仿宋"/>
                <w:snapToGrid w:val="0"/>
                <w:color w:val="000000"/>
                <w:sz w:val="24"/>
                <w:szCs w:val="24"/>
              </w:rPr>
              <w:t>与马来西亚产业内贸易研究</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李湘君</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东南亚纵横</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2016年12月</w:t>
            </w:r>
          </w:p>
        </w:tc>
        <w:tc>
          <w:tcPr>
            <w:tcW w:w="2116"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4</w:t>
            </w:r>
          </w:p>
        </w:tc>
        <w:tc>
          <w:tcPr>
            <w:tcW w:w="2114"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r>
              <w:rPr>
                <w:rFonts w:ascii="Times New Roman" w:hAnsi="Times New Roman" w:eastAsia="仿宋"/>
                <w:snapToGrid w:val="0"/>
                <w:color w:val="000000"/>
                <w:sz w:val="24"/>
                <w:szCs w:val="24"/>
              </w:rPr>
              <w:t>5</w:t>
            </w:r>
          </w:p>
        </w:tc>
        <w:tc>
          <w:tcPr>
            <w:tcW w:w="313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广西</w:t>
            </w:r>
            <w:r>
              <w:rPr>
                <w:rFonts w:ascii="Times New Roman" w:hAnsi="Times New Roman" w:eastAsia="仿宋"/>
                <w:snapToGrid w:val="0"/>
                <w:color w:val="000000"/>
                <w:sz w:val="24"/>
                <w:szCs w:val="24"/>
              </w:rPr>
              <w:t>与“</w:t>
            </w:r>
            <w:r>
              <w:rPr>
                <w:rFonts w:hint="eastAsia" w:ascii="Times New Roman" w:hAnsi="Times New Roman" w:eastAsia="仿宋"/>
                <w:snapToGrid w:val="0"/>
                <w:color w:val="000000"/>
                <w:sz w:val="24"/>
                <w:szCs w:val="24"/>
              </w:rPr>
              <w:t>一带一路</w:t>
            </w:r>
            <w:r>
              <w:rPr>
                <w:rFonts w:ascii="Times New Roman" w:hAnsi="Times New Roman" w:eastAsia="仿宋"/>
                <w:snapToGrid w:val="0"/>
                <w:color w:val="000000"/>
                <w:sz w:val="24"/>
                <w:szCs w:val="24"/>
              </w:rPr>
              <w:t>”</w:t>
            </w:r>
            <w:r>
              <w:rPr>
                <w:rFonts w:hint="eastAsia" w:ascii="Times New Roman" w:hAnsi="Times New Roman" w:eastAsia="仿宋"/>
                <w:snapToGrid w:val="0"/>
                <w:color w:val="000000"/>
                <w:sz w:val="24"/>
                <w:szCs w:val="24"/>
              </w:rPr>
              <w:t>主要</w:t>
            </w:r>
            <w:r>
              <w:rPr>
                <w:rFonts w:ascii="Times New Roman" w:hAnsi="Times New Roman" w:eastAsia="仿宋"/>
                <w:snapToGrid w:val="0"/>
                <w:color w:val="000000"/>
                <w:sz w:val="24"/>
                <w:szCs w:val="24"/>
              </w:rPr>
              <w:t>国家（</w:t>
            </w:r>
            <w:r>
              <w:rPr>
                <w:rFonts w:hint="eastAsia" w:ascii="Times New Roman" w:hAnsi="Times New Roman" w:eastAsia="仿宋"/>
                <w:snapToGrid w:val="0"/>
                <w:color w:val="000000"/>
                <w:sz w:val="24"/>
                <w:szCs w:val="24"/>
              </w:rPr>
              <w:t>地区</w:t>
            </w:r>
            <w:r>
              <w:rPr>
                <w:rFonts w:ascii="Times New Roman" w:hAnsi="Times New Roman" w:eastAsia="仿宋"/>
                <w:snapToGrid w:val="0"/>
                <w:color w:val="000000"/>
                <w:sz w:val="24"/>
                <w:szCs w:val="24"/>
              </w:rPr>
              <w:t>）</w:t>
            </w:r>
            <w:r>
              <w:rPr>
                <w:rFonts w:hint="eastAsia" w:ascii="Times New Roman" w:hAnsi="Times New Roman" w:eastAsia="仿宋"/>
                <w:snapToGrid w:val="0"/>
                <w:color w:val="000000"/>
                <w:sz w:val="24"/>
                <w:szCs w:val="24"/>
              </w:rPr>
              <w:t>贸易</w:t>
            </w:r>
            <w:r>
              <w:rPr>
                <w:rFonts w:ascii="Times New Roman" w:hAnsi="Times New Roman" w:eastAsia="仿宋"/>
                <w:snapToGrid w:val="0"/>
                <w:color w:val="000000"/>
                <w:sz w:val="24"/>
                <w:szCs w:val="24"/>
              </w:rPr>
              <w:t>竞争性与互补性分析</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李湘君</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对外经贸</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2019年10月</w:t>
            </w:r>
          </w:p>
        </w:tc>
        <w:tc>
          <w:tcPr>
            <w:tcW w:w="2116"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0</w:t>
            </w:r>
          </w:p>
        </w:tc>
        <w:tc>
          <w:tcPr>
            <w:tcW w:w="2114"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r>
              <w:rPr>
                <w:rFonts w:ascii="Times New Roman" w:hAnsi="Times New Roman" w:eastAsia="仿宋"/>
                <w:snapToGrid w:val="0"/>
                <w:color w:val="000000"/>
                <w:sz w:val="24"/>
                <w:szCs w:val="24"/>
              </w:rPr>
              <w:t>6</w:t>
            </w:r>
          </w:p>
        </w:tc>
        <w:tc>
          <w:tcPr>
            <w:tcW w:w="313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高校校园外卖众包物流模式研究</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ascii="Times New Roman" w:hAnsi="Times New Roman" w:eastAsia="仿宋"/>
                <w:snapToGrid w:val="0"/>
                <w:color w:val="000000"/>
                <w:sz w:val="24"/>
                <w:szCs w:val="24"/>
              </w:rPr>
              <w:t>梁远芳</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价值工程</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017</w:t>
            </w:r>
            <w:r>
              <w:rPr>
                <w:rFonts w:hint="eastAsia" w:ascii="Times New Roman" w:hAnsi="Times New Roman" w:eastAsia="仿宋"/>
                <w:snapToGrid w:val="0"/>
                <w:color w:val="000000"/>
                <w:sz w:val="24"/>
                <w:szCs w:val="24"/>
              </w:rPr>
              <w:t>（4</w:t>
            </w:r>
            <w:r>
              <w:rPr>
                <w:rFonts w:ascii="Times New Roman" w:hAnsi="Times New Roman" w:eastAsia="仿宋"/>
                <w:snapToGrid w:val="0"/>
                <w:color w:val="000000"/>
                <w:sz w:val="24"/>
                <w:szCs w:val="24"/>
              </w:rPr>
              <w:t>59</w:t>
            </w:r>
            <w:r>
              <w:rPr>
                <w:rFonts w:hint="eastAsia" w:ascii="Times New Roman" w:hAnsi="Times New Roman" w:eastAsia="仿宋"/>
                <w:snapToGrid w:val="0"/>
                <w:color w:val="000000"/>
                <w:sz w:val="24"/>
                <w:szCs w:val="24"/>
              </w:rPr>
              <w:t>）</w:t>
            </w:r>
          </w:p>
        </w:tc>
        <w:tc>
          <w:tcPr>
            <w:tcW w:w="2116"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4</w:t>
            </w:r>
          </w:p>
        </w:tc>
        <w:tc>
          <w:tcPr>
            <w:tcW w:w="2114"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r>
              <w:rPr>
                <w:rFonts w:ascii="Times New Roman" w:hAnsi="Times New Roman" w:eastAsia="仿宋"/>
                <w:snapToGrid w:val="0"/>
                <w:color w:val="000000"/>
                <w:sz w:val="24"/>
                <w:szCs w:val="24"/>
              </w:rPr>
              <w:t>7</w:t>
            </w:r>
          </w:p>
        </w:tc>
        <w:tc>
          <w:tcPr>
            <w:tcW w:w="313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广西物流业发展现状若干问题思考</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ascii="Times New Roman" w:hAnsi="Times New Roman" w:eastAsia="仿宋"/>
                <w:snapToGrid w:val="0"/>
                <w:color w:val="000000"/>
                <w:sz w:val="24"/>
                <w:szCs w:val="24"/>
              </w:rPr>
              <w:t>骆柳毅</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时代经贸</w:t>
            </w:r>
          </w:p>
        </w:tc>
        <w:tc>
          <w:tcPr>
            <w:tcW w:w="2113" w:type="dxa"/>
            <w:vAlign w:val="center"/>
          </w:tcPr>
          <w:p>
            <w:pPr>
              <w:spacing w:line="300" w:lineRule="exact"/>
              <w:jc w:val="center"/>
              <w:rPr>
                <w:rFonts w:hint="eastAsia" w:ascii="Times New Roman" w:hAnsi="Times New Roman" w:eastAsia="仿宋"/>
                <w:snapToGrid w:val="0"/>
                <w:color w:val="000000"/>
                <w:sz w:val="24"/>
                <w:szCs w:val="24"/>
                <w:lang w:eastAsia="zh-CN"/>
              </w:rPr>
            </w:pPr>
            <w:r>
              <w:rPr>
                <w:rFonts w:ascii="Times New Roman" w:hAnsi="Times New Roman" w:eastAsia="仿宋"/>
                <w:snapToGrid w:val="0"/>
                <w:color w:val="000000"/>
                <w:sz w:val="24"/>
                <w:szCs w:val="24"/>
              </w:rPr>
              <w:t>2018</w:t>
            </w:r>
            <w:r>
              <w:rPr>
                <w:rFonts w:hint="eastAsia" w:ascii="Times New Roman" w:hAnsi="Times New Roman" w:eastAsia="仿宋"/>
                <w:snapToGrid w:val="0"/>
                <w:color w:val="000000"/>
                <w:sz w:val="24"/>
                <w:szCs w:val="24"/>
                <w:lang w:eastAsia="zh-CN"/>
              </w:rPr>
              <w:t>（</w:t>
            </w:r>
            <w:r>
              <w:rPr>
                <w:rFonts w:hint="eastAsia" w:ascii="Times New Roman" w:hAnsi="Times New Roman" w:eastAsia="仿宋"/>
                <w:snapToGrid w:val="0"/>
                <w:color w:val="000000"/>
                <w:sz w:val="24"/>
                <w:szCs w:val="24"/>
                <w:lang w:val="en-US" w:eastAsia="zh-CN"/>
              </w:rPr>
              <w:t>12</w:t>
            </w:r>
            <w:r>
              <w:rPr>
                <w:rFonts w:hint="eastAsia" w:ascii="Times New Roman" w:hAnsi="Times New Roman" w:eastAsia="仿宋"/>
                <w:snapToGrid w:val="0"/>
                <w:color w:val="000000"/>
                <w:sz w:val="24"/>
                <w:szCs w:val="24"/>
                <w:lang w:eastAsia="zh-CN"/>
              </w:rPr>
              <w:t>）</w:t>
            </w:r>
          </w:p>
        </w:tc>
        <w:tc>
          <w:tcPr>
            <w:tcW w:w="2116"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0</w:t>
            </w:r>
          </w:p>
        </w:tc>
        <w:tc>
          <w:tcPr>
            <w:tcW w:w="2114"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r>
              <w:rPr>
                <w:rFonts w:ascii="Times New Roman" w:hAnsi="Times New Roman" w:eastAsia="仿宋"/>
                <w:snapToGrid w:val="0"/>
                <w:color w:val="000000"/>
                <w:sz w:val="24"/>
                <w:szCs w:val="24"/>
              </w:rPr>
              <w:t>8</w:t>
            </w:r>
          </w:p>
        </w:tc>
        <w:tc>
          <w:tcPr>
            <w:tcW w:w="313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基于“钻石模型”分析广西沿边开发开放经济带建设的竞争力</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李湘君、李德正</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对外经贸</w:t>
            </w:r>
          </w:p>
        </w:tc>
        <w:tc>
          <w:tcPr>
            <w:tcW w:w="211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020</w:t>
            </w:r>
            <w:r>
              <w:rPr>
                <w:rFonts w:hint="eastAsia" w:ascii="Times New Roman" w:hAnsi="Times New Roman" w:eastAsia="仿宋"/>
                <w:snapToGrid w:val="0"/>
                <w:color w:val="000000"/>
                <w:sz w:val="24"/>
                <w:szCs w:val="24"/>
              </w:rPr>
              <w:t>年</w:t>
            </w:r>
            <w:r>
              <w:rPr>
                <w:rFonts w:ascii="Times New Roman" w:hAnsi="Times New Roman" w:eastAsia="仿宋"/>
                <w:snapToGrid w:val="0"/>
                <w:color w:val="000000"/>
                <w:sz w:val="24"/>
                <w:szCs w:val="24"/>
              </w:rPr>
              <w:t>7</w:t>
            </w:r>
            <w:r>
              <w:rPr>
                <w:rFonts w:hint="eastAsia" w:ascii="Times New Roman" w:hAnsi="Times New Roman" w:eastAsia="仿宋"/>
                <w:snapToGrid w:val="0"/>
                <w:color w:val="000000"/>
                <w:sz w:val="24"/>
                <w:szCs w:val="24"/>
              </w:rPr>
              <w:t>月</w:t>
            </w:r>
          </w:p>
        </w:tc>
        <w:tc>
          <w:tcPr>
            <w:tcW w:w="2116" w:type="dxa"/>
            <w:vAlign w:val="center"/>
          </w:tcPr>
          <w:p>
            <w:pPr>
              <w:spacing w:line="300" w:lineRule="exact"/>
              <w:jc w:val="center"/>
              <w:rPr>
                <w:rFonts w:ascii="Times New Roman" w:hAnsi="Times New Roman" w:eastAsia="仿宋"/>
                <w:snapToGrid w:val="0"/>
                <w:color w:val="000000"/>
                <w:sz w:val="24"/>
                <w:szCs w:val="24"/>
              </w:rPr>
            </w:pPr>
          </w:p>
        </w:tc>
        <w:tc>
          <w:tcPr>
            <w:tcW w:w="2114" w:type="dxa"/>
            <w:vAlign w:val="center"/>
          </w:tcPr>
          <w:p>
            <w:pPr>
              <w:spacing w:line="300" w:lineRule="exact"/>
              <w:jc w:val="center"/>
              <w:rPr>
                <w:rFonts w:ascii="Times New Roman" w:hAnsi="Times New Roman" w:eastAsia="仿宋"/>
                <w:snapToGrid w:val="0"/>
                <w:color w:val="000000"/>
                <w:sz w:val="24"/>
                <w:szCs w:val="24"/>
              </w:rPr>
            </w:pPr>
          </w:p>
        </w:tc>
      </w:tr>
    </w:tbl>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注：学术论文指本专业教师以第一署名单位发表的本专业领域内的学术论文。</w:t>
      </w:r>
    </w:p>
    <w:p>
      <w:pPr>
        <w:widowControl w:val="0"/>
        <w:adjustRightInd/>
        <w:snapToGrid/>
        <w:spacing w:after="0" w:line="300" w:lineRule="exact"/>
        <w:ind w:left="440" w:leftChars="200"/>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国内学术论文“他引次数”以CNKI（中国知网学术期刊网络总库）CSSCI与CSCD源期刊并集库（含扩展库）中的“他引次数”为准，自引不能计算在内。国外学术论文以“Web of Science库（含扩展库）”中的“他引次数”为准。</w:t>
      </w:r>
    </w:p>
    <w:p>
      <w:pPr>
        <w:widowControl w:val="0"/>
        <w:adjustRightInd/>
        <w:snapToGrid/>
        <w:spacing w:after="0" w:line="300" w:lineRule="exact"/>
        <w:rPr>
          <w:rFonts w:ascii="Times New Roman" w:hAnsi="Times New Roman" w:eastAsia="仿宋"/>
          <w:snapToGrid w:val="0"/>
          <w:color w:val="000000"/>
          <w:kern w:val="2"/>
          <w:sz w:val="24"/>
          <w:szCs w:val="24"/>
        </w:rPr>
      </w:pP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9. 专业建设经费投入与使用情况表（单位：万元）</w:t>
      </w:r>
    </w:p>
    <w:tbl>
      <w:tblPr>
        <w:tblStyle w:val="6"/>
        <w:tblpPr w:leftFromText="180" w:rightFromText="180" w:vertAnchor="text" w:horzAnchor="page" w:tblpXSpec="center" w:tblpY="245"/>
        <w:tblOverlap w:val="never"/>
        <w:tblW w:w="1470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35"/>
        <w:gridCol w:w="2973"/>
        <w:gridCol w:w="1592"/>
        <w:gridCol w:w="1548"/>
        <w:gridCol w:w="1574"/>
        <w:gridCol w:w="1619"/>
        <w:gridCol w:w="1511"/>
        <w:gridCol w:w="2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4608" w:type="dxa"/>
            <w:gridSpan w:val="2"/>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p>
          <w:p>
            <w:pPr>
              <w:widowControl w:val="0"/>
              <w:adjustRightInd/>
              <w:snapToGrid/>
              <w:spacing w:after="0" w:line="280" w:lineRule="exact"/>
              <w:jc w:val="center"/>
              <w:rPr>
                <w:rFonts w:ascii="Times New Roman" w:hAnsi="Times New Roman" w:eastAsia="仿宋"/>
                <w:snapToGrid w:val="0"/>
                <w:color w:val="000000"/>
                <w:kern w:val="2"/>
                <w:sz w:val="24"/>
                <w:szCs w:val="24"/>
              </w:rPr>
            </w:pPr>
          </w:p>
        </w:tc>
        <w:tc>
          <w:tcPr>
            <w:tcW w:w="1592" w:type="dxa"/>
            <w:vAlign w:val="center"/>
          </w:tcPr>
          <w:p>
            <w:pPr>
              <w:widowControl w:val="0"/>
              <w:adjustRightInd/>
              <w:snapToGrid/>
              <w:spacing w:after="0" w:line="280" w:lineRule="exact"/>
              <w:jc w:val="center"/>
              <w:rPr>
                <w:rFonts w:ascii="宋体" w:hAnsi="宋体" w:cs="宋体"/>
                <w:color w:val="000000"/>
                <w:sz w:val="24"/>
                <w:szCs w:val="24"/>
                <w:lang w:bidi="ar"/>
              </w:rPr>
            </w:pPr>
            <w:r>
              <w:rPr>
                <w:rFonts w:ascii="宋体" w:hAnsi="宋体" w:cs="宋体"/>
                <w:color w:val="000000"/>
                <w:sz w:val="24"/>
                <w:szCs w:val="24"/>
                <w:lang w:bidi="ar"/>
              </w:rPr>
              <w:t>2016年</w:t>
            </w:r>
          </w:p>
        </w:tc>
        <w:tc>
          <w:tcPr>
            <w:tcW w:w="1548" w:type="dxa"/>
            <w:vAlign w:val="center"/>
          </w:tcPr>
          <w:p>
            <w:pPr>
              <w:widowControl w:val="0"/>
              <w:adjustRightInd/>
              <w:snapToGrid/>
              <w:spacing w:after="0" w:line="280" w:lineRule="exact"/>
              <w:jc w:val="center"/>
              <w:rPr>
                <w:rFonts w:ascii="宋体" w:hAnsi="宋体" w:cs="宋体"/>
                <w:color w:val="000000"/>
                <w:sz w:val="24"/>
                <w:szCs w:val="24"/>
                <w:lang w:bidi="ar"/>
              </w:rPr>
            </w:pPr>
            <w:r>
              <w:rPr>
                <w:rFonts w:ascii="宋体" w:hAnsi="宋体" w:cs="宋体"/>
                <w:color w:val="000000"/>
                <w:sz w:val="24"/>
                <w:szCs w:val="24"/>
                <w:lang w:bidi="ar"/>
              </w:rPr>
              <w:t>2017年</w:t>
            </w:r>
          </w:p>
        </w:tc>
        <w:tc>
          <w:tcPr>
            <w:tcW w:w="1574" w:type="dxa"/>
            <w:vAlign w:val="center"/>
          </w:tcPr>
          <w:p>
            <w:pPr>
              <w:widowControl w:val="0"/>
              <w:adjustRightInd/>
              <w:snapToGrid/>
              <w:spacing w:after="0" w:line="280" w:lineRule="exact"/>
              <w:jc w:val="center"/>
              <w:rPr>
                <w:rFonts w:ascii="宋体" w:hAnsi="宋体" w:cs="宋体"/>
                <w:color w:val="000000"/>
                <w:sz w:val="24"/>
                <w:szCs w:val="24"/>
                <w:lang w:bidi="ar"/>
              </w:rPr>
            </w:pPr>
            <w:r>
              <w:rPr>
                <w:rFonts w:ascii="宋体" w:hAnsi="宋体" w:cs="宋体"/>
                <w:color w:val="000000"/>
                <w:sz w:val="24"/>
                <w:szCs w:val="24"/>
                <w:lang w:bidi="ar"/>
              </w:rPr>
              <w:t>2018年</w:t>
            </w:r>
          </w:p>
        </w:tc>
        <w:tc>
          <w:tcPr>
            <w:tcW w:w="1619" w:type="dxa"/>
            <w:vAlign w:val="center"/>
          </w:tcPr>
          <w:p>
            <w:pPr>
              <w:widowControl w:val="0"/>
              <w:adjustRightInd/>
              <w:snapToGrid/>
              <w:spacing w:after="0" w:line="280" w:lineRule="exact"/>
              <w:jc w:val="center"/>
              <w:rPr>
                <w:rFonts w:ascii="宋体" w:hAnsi="宋体" w:cs="宋体"/>
                <w:color w:val="000000"/>
                <w:sz w:val="24"/>
                <w:szCs w:val="24"/>
                <w:lang w:bidi="ar"/>
              </w:rPr>
            </w:pPr>
            <w:r>
              <w:rPr>
                <w:rFonts w:ascii="宋体" w:hAnsi="宋体" w:cs="宋体"/>
                <w:color w:val="000000"/>
                <w:sz w:val="24"/>
                <w:szCs w:val="24"/>
                <w:lang w:bidi="ar"/>
              </w:rPr>
              <w:t>2019年</w:t>
            </w:r>
          </w:p>
        </w:tc>
        <w:tc>
          <w:tcPr>
            <w:tcW w:w="1511" w:type="dxa"/>
            <w:vAlign w:val="center"/>
          </w:tcPr>
          <w:p>
            <w:pPr>
              <w:widowControl w:val="0"/>
              <w:adjustRightInd/>
              <w:snapToGrid/>
              <w:spacing w:after="0" w:line="280" w:lineRule="exact"/>
              <w:jc w:val="center"/>
              <w:rPr>
                <w:rFonts w:ascii="宋体" w:hAnsi="宋体" w:cs="宋体"/>
                <w:color w:val="000000"/>
                <w:sz w:val="24"/>
                <w:szCs w:val="24"/>
                <w:lang w:bidi="ar"/>
              </w:rPr>
            </w:pPr>
            <w:r>
              <w:rPr>
                <w:rFonts w:ascii="宋体" w:hAnsi="宋体" w:cs="宋体"/>
                <w:color w:val="000000"/>
                <w:sz w:val="24"/>
                <w:szCs w:val="24"/>
                <w:lang w:bidi="ar"/>
              </w:rPr>
              <w:t>2020年</w:t>
            </w:r>
          </w:p>
        </w:tc>
        <w:tc>
          <w:tcPr>
            <w:tcW w:w="2257" w:type="dxa"/>
            <w:vAlign w:val="center"/>
          </w:tcPr>
          <w:p>
            <w:pPr>
              <w:widowControl w:val="0"/>
              <w:adjustRightInd/>
              <w:snapToGrid/>
              <w:spacing w:after="0" w:line="280" w:lineRule="exact"/>
              <w:jc w:val="center"/>
              <w:rPr>
                <w:rFonts w:ascii="宋体" w:hAnsi="宋体" w:cs="宋体"/>
                <w:color w:val="000000"/>
                <w:sz w:val="24"/>
                <w:szCs w:val="24"/>
                <w:lang w:bidi="ar"/>
              </w:rPr>
            </w:pPr>
            <w:r>
              <w:rPr>
                <w:rFonts w:ascii="宋体" w:hAnsi="宋体" w:cs="宋体"/>
                <w:color w:val="000000"/>
                <w:sz w:val="24"/>
                <w:szCs w:val="24"/>
                <w:lang w:bidi="ar"/>
              </w:rPr>
              <w:t>2016-2020年合计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4608" w:type="dxa"/>
            <w:gridSpan w:val="2"/>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合计</w:t>
            </w:r>
          </w:p>
        </w:tc>
        <w:tc>
          <w:tcPr>
            <w:tcW w:w="1592"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136.18</w:t>
            </w:r>
          </w:p>
        </w:tc>
        <w:tc>
          <w:tcPr>
            <w:tcW w:w="1548"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118.56</w:t>
            </w:r>
          </w:p>
        </w:tc>
        <w:tc>
          <w:tcPr>
            <w:tcW w:w="1574"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382.03</w:t>
            </w:r>
          </w:p>
        </w:tc>
        <w:tc>
          <w:tcPr>
            <w:tcW w:w="1619"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240.78</w:t>
            </w:r>
          </w:p>
        </w:tc>
        <w:tc>
          <w:tcPr>
            <w:tcW w:w="1511" w:type="dxa"/>
            <w:vAlign w:val="center"/>
          </w:tcPr>
          <w:p>
            <w:pPr>
              <w:widowControl w:val="0"/>
              <w:adjustRightInd/>
              <w:snapToGrid/>
              <w:spacing w:after="0" w:line="280" w:lineRule="exact"/>
              <w:jc w:val="center"/>
              <w:rPr>
                <w:rFonts w:ascii="宋体" w:hAnsi="宋体" w:cs="宋体"/>
                <w:color w:val="000000"/>
                <w:sz w:val="24"/>
                <w:szCs w:val="24"/>
                <w:lang w:bidi="ar"/>
              </w:rPr>
            </w:pPr>
          </w:p>
        </w:tc>
        <w:tc>
          <w:tcPr>
            <w:tcW w:w="2257"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877.55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635" w:type="dxa"/>
            <w:vMerge w:val="restart"/>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经费来源</w:t>
            </w:r>
          </w:p>
        </w:tc>
        <w:tc>
          <w:tcPr>
            <w:tcW w:w="2973" w:type="dxa"/>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学院</w:t>
            </w:r>
          </w:p>
        </w:tc>
        <w:tc>
          <w:tcPr>
            <w:tcW w:w="1592"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112.35</w:t>
            </w:r>
          </w:p>
        </w:tc>
        <w:tc>
          <w:tcPr>
            <w:tcW w:w="1548"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118.56</w:t>
            </w:r>
          </w:p>
        </w:tc>
        <w:tc>
          <w:tcPr>
            <w:tcW w:w="1574"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382.03</w:t>
            </w:r>
          </w:p>
        </w:tc>
        <w:tc>
          <w:tcPr>
            <w:tcW w:w="1619"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240.78</w:t>
            </w:r>
          </w:p>
        </w:tc>
        <w:tc>
          <w:tcPr>
            <w:tcW w:w="1511" w:type="dxa"/>
            <w:vAlign w:val="center"/>
          </w:tcPr>
          <w:p>
            <w:pPr>
              <w:widowControl w:val="0"/>
              <w:adjustRightInd/>
              <w:snapToGrid/>
              <w:spacing w:after="0" w:line="280" w:lineRule="exact"/>
              <w:jc w:val="center"/>
              <w:rPr>
                <w:rFonts w:ascii="宋体" w:hAnsi="宋体" w:cs="宋体"/>
                <w:color w:val="000000"/>
                <w:sz w:val="24"/>
                <w:szCs w:val="24"/>
                <w:lang w:bidi="ar"/>
              </w:rPr>
            </w:pPr>
          </w:p>
        </w:tc>
        <w:tc>
          <w:tcPr>
            <w:tcW w:w="2257" w:type="dxa"/>
            <w:vAlign w:val="center"/>
          </w:tcPr>
          <w:p>
            <w:pPr>
              <w:widowControl w:val="0"/>
              <w:adjustRightInd/>
              <w:snapToGrid/>
              <w:spacing w:after="0" w:line="280" w:lineRule="exact"/>
              <w:jc w:val="center"/>
              <w:rPr>
                <w:rFonts w:ascii="宋体" w:hAnsi="宋体" w:cs="宋体"/>
                <w:color w:val="000000"/>
                <w:sz w:val="24"/>
                <w:szCs w:val="24"/>
                <w:lang w:bidi="ar"/>
              </w:rPr>
            </w:pPr>
            <w:r>
              <w:rPr>
                <w:rFonts w:hint="eastAsia" w:ascii="宋体" w:hAnsi="宋体" w:cs="宋体"/>
                <w:color w:val="000000"/>
                <w:sz w:val="24"/>
                <w:szCs w:val="24"/>
                <w:lang w:bidi="ar"/>
              </w:rPr>
              <w:t>833.75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635" w:type="dxa"/>
            <w:vMerge w:val="continue"/>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p>
        </w:tc>
        <w:tc>
          <w:tcPr>
            <w:tcW w:w="2973" w:type="dxa"/>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各级财政</w:t>
            </w:r>
          </w:p>
        </w:tc>
        <w:tc>
          <w:tcPr>
            <w:tcW w:w="1592" w:type="dxa"/>
            <w:vAlign w:val="center"/>
          </w:tcPr>
          <w:p>
            <w:pPr>
              <w:widowControl w:val="0"/>
              <w:adjustRightInd/>
              <w:snapToGrid/>
              <w:spacing w:after="0" w:line="280" w:lineRule="exact"/>
              <w:jc w:val="center"/>
              <w:rPr>
                <w:rFonts w:ascii="宋体" w:hAnsi="宋体" w:cs="宋体"/>
                <w:color w:val="000000"/>
                <w:sz w:val="24"/>
                <w:szCs w:val="24"/>
                <w:lang w:bidi="ar"/>
              </w:rPr>
            </w:pPr>
            <w:r>
              <w:rPr>
                <w:rFonts w:hint="eastAsia" w:ascii="宋体" w:hAnsi="宋体" w:cs="宋体"/>
                <w:color w:val="000000"/>
                <w:sz w:val="24"/>
                <w:szCs w:val="24"/>
                <w:lang w:bidi="ar"/>
              </w:rPr>
              <w:t>23.83</w:t>
            </w:r>
          </w:p>
        </w:tc>
        <w:tc>
          <w:tcPr>
            <w:tcW w:w="1548" w:type="dxa"/>
            <w:vAlign w:val="center"/>
          </w:tcPr>
          <w:p>
            <w:pPr>
              <w:widowControl w:val="0"/>
              <w:adjustRightInd/>
              <w:snapToGrid/>
              <w:spacing w:after="0" w:line="280" w:lineRule="exact"/>
              <w:jc w:val="center"/>
              <w:rPr>
                <w:rFonts w:ascii="宋体" w:hAnsi="宋体" w:cs="宋体"/>
                <w:color w:val="000000"/>
                <w:sz w:val="24"/>
                <w:szCs w:val="24"/>
                <w:lang w:bidi="ar"/>
              </w:rPr>
            </w:pPr>
          </w:p>
        </w:tc>
        <w:tc>
          <w:tcPr>
            <w:tcW w:w="1574" w:type="dxa"/>
            <w:vAlign w:val="center"/>
          </w:tcPr>
          <w:p>
            <w:pPr>
              <w:widowControl w:val="0"/>
              <w:adjustRightInd/>
              <w:snapToGrid/>
              <w:spacing w:after="0" w:line="280" w:lineRule="exact"/>
              <w:jc w:val="center"/>
              <w:rPr>
                <w:rFonts w:ascii="宋体" w:hAnsi="宋体" w:cs="宋体"/>
                <w:color w:val="000000"/>
                <w:sz w:val="24"/>
                <w:szCs w:val="24"/>
                <w:lang w:bidi="ar"/>
              </w:rPr>
            </w:pPr>
          </w:p>
        </w:tc>
        <w:tc>
          <w:tcPr>
            <w:tcW w:w="1619" w:type="dxa"/>
            <w:vAlign w:val="center"/>
          </w:tcPr>
          <w:p>
            <w:pPr>
              <w:widowControl w:val="0"/>
              <w:adjustRightInd/>
              <w:snapToGrid/>
              <w:spacing w:after="0" w:line="280" w:lineRule="exact"/>
              <w:jc w:val="center"/>
              <w:rPr>
                <w:rFonts w:ascii="宋体" w:hAnsi="宋体" w:cs="宋体"/>
                <w:color w:val="000000"/>
                <w:sz w:val="24"/>
                <w:szCs w:val="24"/>
                <w:lang w:bidi="ar"/>
              </w:rPr>
            </w:pPr>
          </w:p>
        </w:tc>
        <w:tc>
          <w:tcPr>
            <w:tcW w:w="1511" w:type="dxa"/>
            <w:vAlign w:val="center"/>
          </w:tcPr>
          <w:p>
            <w:pPr>
              <w:widowControl w:val="0"/>
              <w:adjustRightInd/>
              <w:snapToGrid/>
              <w:spacing w:after="0" w:line="280" w:lineRule="exact"/>
              <w:jc w:val="center"/>
              <w:rPr>
                <w:rFonts w:ascii="宋体" w:hAnsi="宋体" w:cs="宋体"/>
                <w:color w:val="000000"/>
                <w:sz w:val="24"/>
                <w:szCs w:val="24"/>
                <w:lang w:bidi="ar"/>
              </w:rPr>
            </w:pPr>
          </w:p>
        </w:tc>
        <w:tc>
          <w:tcPr>
            <w:tcW w:w="2257" w:type="dxa"/>
            <w:vAlign w:val="center"/>
          </w:tcPr>
          <w:p>
            <w:pPr>
              <w:widowControl w:val="0"/>
              <w:adjustRightInd/>
              <w:snapToGrid/>
              <w:spacing w:after="0" w:line="280" w:lineRule="exact"/>
              <w:jc w:val="center"/>
              <w:rPr>
                <w:rFonts w:ascii="宋体" w:hAnsi="宋体" w:cs="宋体"/>
                <w:color w:val="000000"/>
                <w:sz w:val="24"/>
                <w:szCs w:val="24"/>
                <w:lang w:bidi="ar"/>
              </w:rPr>
            </w:pPr>
            <w:r>
              <w:rPr>
                <w:rFonts w:hint="eastAsia" w:ascii="宋体" w:hAnsi="宋体" w:cs="宋体"/>
                <w:color w:val="000000"/>
                <w:sz w:val="24"/>
                <w:szCs w:val="24"/>
                <w:lang w:bidi="ar"/>
              </w:rPr>
              <w:t>23.83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635" w:type="dxa"/>
            <w:vMerge w:val="continue"/>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p>
        </w:tc>
        <w:tc>
          <w:tcPr>
            <w:tcW w:w="2973" w:type="dxa"/>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社会</w:t>
            </w:r>
          </w:p>
        </w:tc>
        <w:tc>
          <w:tcPr>
            <w:tcW w:w="1592" w:type="dxa"/>
            <w:vAlign w:val="center"/>
          </w:tcPr>
          <w:p>
            <w:pPr>
              <w:widowControl w:val="0"/>
              <w:adjustRightInd/>
              <w:snapToGrid/>
              <w:spacing w:after="0" w:line="280" w:lineRule="exact"/>
              <w:jc w:val="center"/>
              <w:rPr>
                <w:rFonts w:ascii="宋体" w:hAnsi="宋体" w:cs="宋体"/>
                <w:color w:val="000000"/>
                <w:sz w:val="24"/>
                <w:szCs w:val="24"/>
                <w:lang w:bidi="ar"/>
              </w:rPr>
            </w:pPr>
          </w:p>
        </w:tc>
        <w:tc>
          <w:tcPr>
            <w:tcW w:w="1548" w:type="dxa"/>
            <w:vAlign w:val="center"/>
          </w:tcPr>
          <w:p>
            <w:pPr>
              <w:widowControl w:val="0"/>
              <w:adjustRightInd/>
              <w:snapToGrid/>
              <w:spacing w:after="0" w:line="280" w:lineRule="exact"/>
              <w:jc w:val="center"/>
              <w:rPr>
                <w:rFonts w:ascii="宋体" w:hAnsi="宋体" w:cs="宋体"/>
                <w:color w:val="000000"/>
                <w:sz w:val="24"/>
                <w:szCs w:val="24"/>
                <w:lang w:bidi="ar"/>
              </w:rPr>
            </w:pPr>
          </w:p>
        </w:tc>
        <w:tc>
          <w:tcPr>
            <w:tcW w:w="1574" w:type="dxa"/>
            <w:vAlign w:val="center"/>
          </w:tcPr>
          <w:p>
            <w:pPr>
              <w:widowControl w:val="0"/>
              <w:adjustRightInd/>
              <w:snapToGrid/>
              <w:spacing w:after="0" w:line="280" w:lineRule="exact"/>
              <w:jc w:val="center"/>
              <w:rPr>
                <w:rFonts w:ascii="宋体" w:hAnsi="宋体" w:cs="宋体"/>
                <w:color w:val="000000"/>
                <w:sz w:val="24"/>
                <w:szCs w:val="24"/>
                <w:lang w:bidi="ar"/>
              </w:rPr>
            </w:pPr>
          </w:p>
        </w:tc>
        <w:tc>
          <w:tcPr>
            <w:tcW w:w="1619" w:type="dxa"/>
            <w:vAlign w:val="center"/>
          </w:tcPr>
          <w:p>
            <w:pPr>
              <w:widowControl w:val="0"/>
              <w:adjustRightInd/>
              <w:snapToGrid/>
              <w:spacing w:after="0" w:line="280" w:lineRule="exact"/>
              <w:jc w:val="center"/>
              <w:rPr>
                <w:rFonts w:ascii="宋体" w:hAnsi="宋体" w:cs="宋体"/>
                <w:color w:val="000000"/>
                <w:sz w:val="24"/>
                <w:szCs w:val="24"/>
                <w:lang w:bidi="ar"/>
              </w:rPr>
            </w:pPr>
          </w:p>
        </w:tc>
        <w:tc>
          <w:tcPr>
            <w:tcW w:w="1511" w:type="dxa"/>
            <w:vAlign w:val="center"/>
          </w:tcPr>
          <w:p>
            <w:pPr>
              <w:widowControl w:val="0"/>
              <w:adjustRightInd/>
              <w:snapToGrid/>
              <w:spacing w:after="0" w:line="280" w:lineRule="exact"/>
              <w:jc w:val="center"/>
              <w:rPr>
                <w:rFonts w:ascii="宋体" w:hAnsi="宋体" w:cs="宋体"/>
                <w:color w:val="000000"/>
                <w:sz w:val="24"/>
                <w:szCs w:val="24"/>
                <w:lang w:bidi="ar"/>
              </w:rPr>
            </w:pPr>
          </w:p>
        </w:tc>
        <w:tc>
          <w:tcPr>
            <w:tcW w:w="2257" w:type="dxa"/>
            <w:vAlign w:val="center"/>
          </w:tcPr>
          <w:p>
            <w:pPr>
              <w:jc w:val="center"/>
              <w:textAlignment w:val="center"/>
              <w:rPr>
                <w:rFonts w:ascii="宋体" w:hAnsi="宋体" w:cs="宋体"/>
                <w:color w:val="00000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635" w:type="dxa"/>
            <w:vMerge w:val="restart"/>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经费用途</w:t>
            </w:r>
          </w:p>
        </w:tc>
        <w:tc>
          <w:tcPr>
            <w:tcW w:w="2973" w:type="dxa"/>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基础建设</w:t>
            </w:r>
          </w:p>
        </w:tc>
        <w:tc>
          <w:tcPr>
            <w:tcW w:w="1592" w:type="dxa"/>
            <w:vAlign w:val="center"/>
          </w:tcPr>
          <w:p>
            <w:pPr>
              <w:jc w:val="center"/>
              <w:rPr>
                <w:rFonts w:ascii="宋体" w:hAnsi="宋体" w:cs="宋体"/>
                <w:color w:val="000000"/>
                <w:sz w:val="24"/>
                <w:szCs w:val="24"/>
                <w:lang w:bidi="ar"/>
              </w:rPr>
            </w:pPr>
          </w:p>
        </w:tc>
        <w:tc>
          <w:tcPr>
            <w:tcW w:w="1548" w:type="dxa"/>
            <w:vAlign w:val="center"/>
          </w:tcPr>
          <w:p>
            <w:pPr>
              <w:jc w:val="center"/>
              <w:rPr>
                <w:rFonts w:ascii="宋体" w:hAnsi="宋体" w:cs="宋体"/>
                <w:color w:val="000000"/>
                <w:sz w:val="24"/>
                <w:szCs w:val="24"/>
                <w:lang w:bidi="ar"/>
              </w:rPr>
            </w:pPr>
          </w:p>
        </w:tc>
        <w:tc>
          <w:tcPr>
            <w:tcW w:w="1574"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23.79</w:t>
            </w:r>
          </w:p>
        </w:tc>
        <w:tc>
          <w:tcPr>
            <w:tcW w:w="1619" w:type="dxa"/>
            <w:vAlign w:val="center"/>
          </w:tcPr>
          <w:p>
            <w:pPr>
              <w:jc w:val="center"/>
              <w:rPr>
                <w:rFonts w:ascii="宋体" w:hAnsi="宋体" w:cs="宋体"/>
                <w:color w:val="000000"/>
                <w:sz w:val="24"/>
                <w:szCs w:val="24"/>
                <w:lang w:bidi="ar"/>
              </w:rPr>
            </w:pPr>
          </w:p>
        </w:tc>
        <w:tc>
          <w:tcPr>
            <w:tcW w:w="1511" w:type="dxa"/>
            <w:vAlign w:val="center"/>
          </w:tcPr>
          <w:p>
            <w:pPr>
              <w:widowControl w:val="0"/>
              <w:adjustRightInd/>
              <w:snapToGrid/>
              <w:spacing w:after="0" w:line="280" w:lineRule="exact"/>
              <w:jc w:val="center"/>
              <w:rPr>
                <w:rFonts w:ascii="宋体" w:hAnsi="宋体" w:cs="宋体"/>
                <w:color w:val="000000"/>
                <w:sz w:val="24"/>
                <w:szCs w:val="24"/>
                <w:lang w:bidi="ar"/>
              </w:rPr>
            </w:pPr>
          </w:p>
        </w:tc>
        <w:tc>
          <w:tcPr>
            <w:tcW w:w="2257"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23.79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635" w:type="dxa"/>
            <w:vMerge w:val="continue"/>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p>
        </w:tc>
        <w:tc>
          <w:tcPr>
            <w:tcW w:w="2973" w:type="dxa"/>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教学实验仪器设备</w:t>
            </w:r>
          </w:p>
        </w:tc>
        <w:tc>
          <w:tcPr>
            <w:tcW w:w="1592"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25.93</w:t>
            </w:r>
          </w:p>
        </w:tc>
        <w:tc>
          <w:tcPr>
            <w:tcW w:w="1548"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11.6</w:t>
            </w:r>
          </w:p>
        </w:tc>
        <w:tc>
          <w:tcPr>
            <w:tcW w:w="1574"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140.84</w:t>
            </w:r>
          </w:p>
        </w:tc>
        <w:tc>
          <w:tcPr>
            <w:tcW w:w="1619"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21.65</w:t>
            </w:r>
          </w:p>
        </w:tc>
        <w:tc>
          <w:tcPr>
            <w:tcW w:w="1511" w:type="dxa"/>
            <w:vAlign w:val="center"/>
          </w:tcPr>
          <w:p>
            <w:pPr>
              <w:widowControl w:val="0"/>
              <w:adjustRightInd/>
              <w:snapToGrid/>
              <w:spacing w:after="0" w:line="280" w:lineRule="exact"/>
              <w:jc w:val="center"/>
              <w:rPr>
                <w:rFonts w:ascii="宋体" w:hAnsi="宋体" w:cs="宋体"/>
                <w:color w:val="000000"/>
                <w:sz w:val="24"/>
                <w:szCs w:val="24"/>
                <w:lang w:bidi="ar"/>
              </w:rPr>
            </w:pPr>
          </w:p>
        </w:tc>
        <w:tc>
          <w:tcPr>
            <w:tcW w:w="2257"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200.02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635" w:type="dxa"/>
            <w:vMerge w:val="continue"/>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p>
        </w:tc>
        <w:tc>
          <w:tcPr>
            <w:tcW w:w="2973" w:type="dxa"/>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师资队伍</w:t>
            </w:r>
          </w:p>
        </w:tc>
        <w:tc>
          <w:tcPr>
            <w:tcW w:w="1592"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100.15</w:t>
            </w:r>
          </w:p>
        </w:tc>
        <w:tc>
          <w:tcPr>
            <w:tcW w:w="1548"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96.39</w:t>
            </w:r>
          </w:p>
        </w:tc>
        <w:tc>
          <w:tcPr>
            <w:tcW w:w="1574"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98.01</w:t>
            </w:r>
          </w:p>
        </w:tc>
        <w:tc>
          <w:tcPr>
            <w:tcW w:w="1619"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116.16</w:t>
            </w:r>
          </w:p>
        </w:tc>
        <w:tc>
          <w:tcPr>
            <w:tcW w:w="1511" w:type="dxa"/>
            <w:vAlign w:val="center"/>
          </w:tcPr>
          <w:p>
            <w:pPr>
              <w:widowControl w:val="0"/>
              <w:adjustRightInd/>
              <w:snapToGrid/>
              <w:spacing w:after="0" w:line="280" w:lineRule="exact"/>
              <w:jc w:val="center"/>
              <w:rPr>
                <w:rFonts w:ascii="宋体" w:hAnsi="宋体" w:cs="宋体"/>
                <w:color w:val="000000"/>
                <w:sz w:val="24"/>
                <w:szCs w:val="24"/>
                <w:lang w:bidi="ar"/>
              </w:rPr>
            </w:pPr>
          </w:p>
        </w:tc>
        <w:tc>
          <w:tcPr>
            <w:tcW w:w="2257"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410.71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635" w:type="dxa"/>
            <w:vMerge w:val="continue"/>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p>
        </w:tc>
        <w:tc>
          <w:tcPr>
            <w:tcW w:w="2973" w:type="dxa"/>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教学运行与改革</w:t>
            </w:r>
          </w:p>
        </w:tc>
        <w:tc>
          <w:tcPr>
            <w:tcW w:w="1592"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10.1</w:t>
            </w:r>
          </w:p>
        </w:tc>
        <w:tc>
          <w:tcPr>
            <w:tcW w:w="1548"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10.57</w:t>
            </w:r>
          </w:p>
        </w:tc>
        <w:tc>
          <w:tcPr>
            <w:tcW w:w="1574"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11.48</w:t>
            </w:r>
          </w:p>
        </w:tc>
        <w:tc>
          <w:tcPr>
            <w:tcW w:w="1619"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7.08</w:t>
            </w:r>
          </w:p>
        </w:tc>
        <w:tc>
          <w:tcPr>
            <w:tcW w:w="1511" w:type="dxa"/>
            <w:vAlign w:val="center"/>
          </w:tcPr>
          <w:p>
            <w:pPr>
              <w:widowControl w:val="0"/>
              <w:adjustRightInd/>
              <w:snapToGrid/>
              <w:spacing w:after="0" w:line="280" w:lineRule="exact"/>
              <w:jc w:val="center"/>
              <w:rPr>
                <w:rFonts w:ascii="宋体" w:hAnsi="宋体" w:cs="宋体"/>
                <w:color w:val="000000"/>
                <w:sz w:val="24"/>
                <w:szCs w:val="24"/>
                <w:lang w:bidi="ar"/>
              </w:rPr>
            </w:pPr>
          </w:p>
        </w:tc>
        <w:tc>
          <w:tcPr>
            <w:tcW w:w="2257"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39.23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635" w:type="dxa"/>
            <w:vMerge w:val="continue"/>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p>
        </w:tc>
        <w:tc>
          <w:tcPr>
            <w:tcW w:w="2973" w:type="dxa"/>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其它</w:t>
            </w:r>
          </w:p>
        </w:tc>
        <w:tc>
          <w:tcPr>
            <w:tcW w:w="1592" w:type="dxa"/>
            <w:vAlign w:val="center"/>
          </w:tcPr>
          <w:p>
            <w:pPr>
              <w:jc w:val="center"/>
              <w:rPr>
                <w:rFonts w:ascii="宋体" w:hAnsi="宋体" w:cs="宋体"/>
                <w:color w:val="000000"/>
                <w:sz w:val="24"/>
                <w:szCs w:val="24"/>
                <w:lang w:bidi="ar"/>
              </w:rPr>
            </w:pPr>
          </w:p>
        </w:tc>
        <w:tc>
          <w:tcPr>
            <w:tcW w:w="1548" w:type="dxa"/>
            <w:vAlign w:val="center"/>
          </w:tcPr>
          <w:p>
            <w:pPr>
              <w:jc w:val="center"/>
              <w:rPr>
                <w:rFonts w:ascii="宋体" w:hAnsi="宋体" w:cs="宋体"/>
                <w:color w:val="000000"/>
                <w:sz w:val="24"/>
                <w:szCs w:val="24"/>
                <w:lang w:bidi="ar"/>
              </w:rPr>
            </w:pPr>
          </w:p>
        </w:tc>
        <w:tc>
          <w:tcPr>
            <w:tcW w:w="1574"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107.91</w:t>
            </w:r>
          </w:p>
        </w:tc>
        <w:tc>
          <w:tcPr>
            <w:tcW w:w="1619"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95.89</w:t>
            </w:r>
          </w:p>
        </w:tc>
        <w:tc>
          <w:tcPr>
            <w:tcW w:w="1511" w:type="dxa"/>
            <w:vAlign w:val="center"/>
          </w:tcPr>
          <w:p>
            <w:pPr>
              <w:widowControl w:val="0"/>
              <w:adjustRightInd/>
              <w:snapToGrid/>
              <w:spacing w:after="0" w:line="280" w:lineRule="exact"/>
              <w:jc w:val="center"/>
              <w:rPr>
                <w:rFonts w:ascii="宋体" w:hAnsi="宋体" w:cs="宋体"/>
                <w:color w:val="000000"/>
                <w:sz w:val="24"/>
                <w:szCs w:val="24"/>
                <w:lang w:bidi="ar"/>
              </w:rPr>
            </w:pPr>
          </w:p>
        </w:tc>
        <w:tc>
          <w:tcPr>
            <w:tcW w:w="2257"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203.8</w:t>
            </w:r>
          </w:p>
        </w:tc>
      </w:tr>
    </w:tbl>
    <w:p>
      <w:pPr>
        <w:widowControl w:val="0"/>
        <w:adjustRightInd/>
        <w:snapToGrid/>
        <w:spacing w:after="0" w:line="300" w:lineRule="exact"/>
        <w:ind w:firstLine="120" w:firstLineChars="50"/>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注：本表所填年份为自然年度。合计=各种来源的经费之和=各种用途的经费之和。</w:t>
      </w:r>
    </w:p>
    <w:p>
      <w:pPr>
        <w:widowControl w:val="0"/>
        <w:adjustRightInd/>
        <w:snapToGrid/>
        <w:spacing w:after="0" w:line="300" w:lineRule="exact"/>
        <w:rPr>
          <w:rFonts w:ascii="Times New Roman" w:hAnsi="Times New Roman" w:eastAsia="仿宋"/>
          <w:snapToGrid w:val="0"/>
          <w:color w:val="000000"/>
          <w:kern w:val="2"/>
          <w:sz w:val="28"/>
          <w:szCs w:val="28"/>
        </w:rPr>
      </w:pP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10. 图书资料情况表</w:t>
      </w:r>
    </w:p>
    <w:tbl>
      <w:tblPr>
        <w:tblStyle w:val="6"/>
        <w:tblW w:w="145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33"/>
        <w:gridCol w:w="9545"/>
        <w:gridCol w:w="1040"/>
        <w:gridCol w:w="1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83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纸质图书册数（册）</w:t>
            </w:r>
          </w:p>
        </w:tc>
        <w:tc>
          <w:tcPr>
            <w:tcW w:w="95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42809册</w:t>
            </w:r>
          </w:p>
        </w:tc>
        <w:tc>
          <w:tcPr>
            <w:tcW w:w="104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c>
          <w:tcPr>
            <w:tcW w:w="116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83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电子图书资料源个数</w:t>
            </w:r>
          </w:p>
        </w:tc>
        <w:tc>
          <w:tcPr>
            <w:tcW w:w="95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w:t>
            </w:r>
          </w:p>
        </w:tc>
        <w:tc>
          <w:tcPr>
            <w:tcW w:w="104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c>
          <w:tcPr>
            <w:tcW w:w="116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14578" w:type="dxa"/>
            <w:gridSpan w:val="4"/>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电子图书资料源清单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83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电子图书资料源名称</w:t>
            </w:r>
          </w:p>
        </w:tc>
        <w:tc>
          <w:tcPr>
            <w:tcW w:w="10585" w:type="dxa"/>
            <w:gridSpan w:val="2"/>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链接地址</w:t>
            </w:r>
          </w:p>
        </w:tc>
        <w:tc>
          <w:tcPr>
            <w:tcW w:w="116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83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CNKI中国知网-中国学术期刊网络出版总库</w:t>
            </w:r>
          </w:p>
        </w:tc>
        <w:tc>
          <w:tcPr>
            <w:tcW w:w="10585" w:type="dxa"/>
            <w:gridSpan w:val="2"/>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fldChar w:fldCharType="begin"/>
            </w:r>
            <w:r>
              <w:instrText xml:space="preserve"> HYPERLINK "https://www.cnki.net/" </w:instrText>
            </w:r>
            <w:r>
              <w:fldChar w:fldCharType="separate"/>
            </w:r>
            <w:r>
              <w:rPr>
                <w:rStyle w:val="10"/>
              </w:rPr>
              <w:t>https://www.cnki.net/</w:t>
            </w:r>
            <w:r>
              <w:rPr>
                <w:rStyle w:val="10"/>
              </w:rPr>
              <w:fldChar w:fldCharType="end"/>
            </w:r>
            <w:r>
              <w:t xml:space="preserve"> </w:t>
            </w:r>
          </w:p>
        </w:tc>
        <w:tc>
          <w:tcPr>
            <w:tcW w:w="116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83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0585" w:type="dxa"/>
            <w:gridSpan w:val="2"/>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16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83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0585" w:type="dxa"/>
            <w:gridSpan w:val="2"/>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16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bl>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注：本表所统计图书资料是指本专业的图书资料（含学院与系部），统计时间截止到文件下发之日。</w:t>
      </w:r>
    </w:p>
    <w:p>
      <w:pPr>
        <w:widowControl w:val="0"/>
        <w:adjustRightInd/>
        <w:snapToGrid/>
        <w:spacing w:after="0" w:line="300" w:lineRule="exact"/>
        <w:ind w:left="440" w:leftChars="200"/>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本专业的电子图书资料源（含学院与系部）是指供本专业教学、科研使用的，由资源提供方完成更新的、可全文下载的电子资源平台/数据库，随书的资料光盘不计在内。</w:t>
      </w:r>
    </w:p>
    <w:p>
      <w:pPr>
        <w:widowControl w:val="0"/>
        <w:adjustRightInd/>
        <w:snapToGrid/>
        <w:spacing w:after="0" w:line="300" w:lineRule="exact"/>
        <w:ind w:left="440" w:leftChars="200"/>
        <w:rPr>
          <w:rFonts w:ascii="Times New Roman" w:hAnsi="Times New Roman" w:eastAsia="仿宋"/>
          <w:snapToGrid w:val="0"/>
          <w:color w:val="000000"/>
          <w:kern w:val="2"/>
          <w:sz w:val="24"/>
          <w:szCs w:val="24"/>
        </w:rPr>
      </w:pP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11. 教学实验仪器设备（含软件）情况表</w:t>
      </w:r>
    </w:p>
    <w:tbl>
      <w:tblPr>
        <w:tblStyle w:val="6"/>
        <w:tblW w:w="146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4"/>
        <w:gridCol w:w="2654"/>
        <w:gridCol w:w="2310"/>
        <w:gridCol w:w="2343"/>
        <w:gridCol w:w="2422"/>
        <w:gridCol w:w="2676"/>
        <w:gridCol w:w="9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blHeader/>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序号</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教学实验仪器设备</w:t>
            </w:r>
          </w:p>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（含软件）</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台套数</w:t>
            </w:r>
          </w:p>
        </w:tc>
        <w:tc>
          <w:tcPr>
            <w:tcW w:w="234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单价（元）</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是否该专业开设以来新增</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本专业使用比例</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网络设备一批</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7,402.00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90%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网络设备一批</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5,754.00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80%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空调-松下空调</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6,600.00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多媒体教室设备-投影仪等</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16,925.00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5</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日立中央空调</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100,000.00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6</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联想主板与硬盘</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15,960.00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7</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微格教室设备</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111,460.00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80%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8</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网络连接</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3,088.00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9</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平板笔记本</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5</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9,085.00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普通笔记本</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4,370.00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11</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设计台式机</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8</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6,957.00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12</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普通台式机</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110</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5,002.00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13</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台式电脑</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3,600.00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14</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台式电脑</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8,135.00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15</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松下空调</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11,996.00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16</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固定投影仪</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11,132.00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17</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移动投影仪</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4,600.00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18</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投影仪</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12</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5,233.00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19</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数码照相机</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32,947.00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硬盘</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1,185.00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21</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喷墨打印机</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2,015.00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22</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激光打印机</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1,725.00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23</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传真扫描一体机</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1,932.00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24</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白色松下传真机</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949.00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25</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台阶展示台</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4,374.00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26</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企业宣传文化板</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948.00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27</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大班台</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2,967.00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28</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休闲桌椅</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1,300.00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29</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会议桌</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3,900.00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30</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休闲沙发</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3,850.00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31</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沙发</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3,300.00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32</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书柜</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3,067.00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33</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打印机柜</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900.00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34</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房屋构筑物--不锈钢架玻璃间墙</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5,232.50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35</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服务器</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15,800.00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36</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软件--SimTrade外贸实习平台教学系统</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108,000.00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37</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软件-电子商务软件</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72,000.00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38</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金蝶软件联网版存货核算版本</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3,800.00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39</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电子商务平台系统开发服务器（二期）</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437,000.00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40</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联想服务器SR860</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w:t>
            </w:r>
          </w:p>
        </w:tc>
        <w:tc>
          <w:tcPr>
            <w:tcW w:w="2343" w:type="dxa"/>
            <w:vAlign w:val="center"/>
          </w:tcPr>
          <w:p>
            <w:pPr>
              <w:keepNext w:val="0"/>
              <w:keepLines w:val="0"/>
              <w:widowControl/>
              <w:suppressLineNumbers w:val="0"/>
              <w:jc w:val="right"/>
              <w:textAlignment w:val="center"/>
              <w:rPr>
                <w:rFonts w:ascii="Times New Roman" w:hAnsi="Times New Roman" w:eastAsia="仿宋"/>
                <w:snapToGrid w:val="0"/>
                <w:color w:val="000000"/>
                <w:kern w:val="2"/>
                <w:sz w:val="24"/>
                <w:szCs w:val="24"/>
              </w:rPr>
            </w:pPr>
            <w:r>
              <w:rPr>
                <w:rFonts w:hint="eastAsia" w:ascii="宋体" w:hAnsi="宋体" w:eastAsia="宋体" w:cs="宋体"/>
                <w:i w:val="0"/>
                <w:color w:val="000000"/>
                <w:kern w:val="0"/>
                <w:sz w:val="24"/>
                <w:szCs w:val="24"/>
                <w:u w:val="none"/>
                <w:lang w:val="en-US" w:eastAsia="zh-CN" w:bidi="ar"/>
              </w:rPr>
              <w:t xml:space="preserve"> 108</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 xml:space="preserve">250.00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合计</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653" w:type="dxa"/>
            <w:gridSpan w:val="2"/>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∑（台套数*使用比例*单价）</w:t>
            </w:r>
          </w:p>
        </w:tc>
        <w:tc>
          <w:tcPr>
            <w:tcW w:w="5098" w:type="dxa"/>
            <w:gridSpan w:val="2"/>
            <w:vAlign w:val="center"/>
          </w:tcPr>
          <w:p>
            <w:pPr>
              <w:widowControl w:val="0"/>
              <w:adjustRightInd/>
              <w:snapToGrid/>
              <w:spacing w:after="0" w:line="300" w:lineRule="exact"/>
              <w:jc w:val="center"/>
              <w:rPr>
                <w:rFonts w:hint="eastAsia" w:ascii="Times New Roman" w:hAnsi="Times New Roman" w:eastAsia="仿宋"/>
                <w:snapToGrid w:val="0"/>
                <w:color w:val="000000"/>
                <w:kern w:val="2"/>
                <w:sz w:val="24"/>
                <w:szCs w:val="24"/>
                <w:lang w:val="en-US" w:eastAsia="zh-CN"/>
              </w:rPr>
            </w:pPr>
            <w:r>
              <w:rPr>
                <w:rFonts w:hint="eastAsia" w:ascii="宋体" w:hAnsi="宋体" w:eastAsia="宋体" w:cs="宋体"/>
                <w:snapToGrid w:val="0"/>
                <w:color w:val="000000"/>
                <w:kern w:val="2"/>
                <w:sz w:val="24"/>
                <w:szCs w:val="24"/>
              </w:rPr>
              <w:t>2</w:t>
            </w:r>
            <w:r>
              <w:rPr>
                <w:rFonts w:hint="eastAsia" w:ascii="宋体" w:hAnsi="宋体" w:eastAsia="宋体" w:cs="宋体"/>
                <w:snapToGrid w:val="0"/>
                <w:color w:val="000000"/>
                <w:kern w:val="2"/>
                <w:sz w:val="24"/>
                <w:szCs w:val="24"/>
                <w:lang w:val="en-US" w:eastAsia="zh-CN"/>
              </w:rPr>
              <w:t>,</w:t>
            </w:r>
            <w:r>
              <w:rPr>
                <w:rFonts w:hint="eastAsia" w:ascii="宋体" w:hAnsi="宋体" w:eastAsia="宋体" w:cs="宋体"/>
                <w:snapToGrid w:val="0"/>
                <w:color w:val="000000"/>
                <w:kern w:val="2"/>
                <w:sz w:val="24"/>
                <w:szCs w:val="24"/>
              </w:rPr>
              <w:t>000</w:t>
            </w:r>
            <w:r>
              <w:rPr>
                <w:rFonts w:hint="eastAsia" w:ascii="宋体" w:hAnsi="宋体" w:eastAsia="宋体" w:cs="宋体"/>
                <w:snapToGrid w:val="0"/>
                <w:color w:val="000000"/>
                <w:kern w:val="2"/>
                <w:sz w:val="24"/>
                <w:szCs w:val="24"/>
                <w:lang w:val="en-US" w:eastAsia="zh-CN"/>
              </w:rPr>
              <w:t>,</w:t>
            </w:r>
            <w:r>
              <w:rPr>
                <w:rFonts w:hint="eastAsia" w:ascii="宋体" w:hAnsi="宋体" w:eastAsia="宋体" w:cs="宋体"/>
                <w:snapToGrid w:val="0"/>
                <w:color w:val="000000"/>
                <w:kern w:val="2"/>
                <w:sz w:val="24"/>
                <w:szCs w:val="24"/>
              </w:rPr>
              <w:t>204.2</w:t>
            </w:r>
            <w:r>
              <w:rPr>
                <w:rFonts w:hint="eastAsia" w:ascii="宋体" w:hAnsi="宋体" w:eastAsia="宋体" w:cs="宋体"/>
                <w:snapToGrid w:val="0"/>
                <w:color w:val="000000"/>
                <w:kern w:val="2"/>
                <w:sz w:val="24"/>
                <w:szCs w:val="24"/>
                <w:lang w:val="en-US" w:eastAsia="zh-CN"/>
              </w:rPr>
              <w:t>0</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bl>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注：教学实验仪器设备（含软件）指单价800元以上的设备。</w:t>
      </w:r>
    </w:p>
    <w:p>
      <w:pPr>
        <w:widowControl w:val="0"/>
        <w:adjustRightInd/>
        <w:snapToGrid/>
        <w:spacing w:after="0" w:line="300" w:lineRule="exact"/>
        <w:ind w:left="440" w:leftChars="200"/>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本专业使用比例是指一个设备如果多个专业共享，其中用于本专业教学的比例，由学院根据实际情况估算。</w:t>
      </w:r>
    </w:p>
    <w:p>
      <w:pPr>
        <w:widowControl w:val="0"/>
        <w:adjustRightInd/>
        <w:snapToGrid/>
        <w:spacing w:after="0" w:line="300" w:lineRule="exact"/>
        <w:ind w:firstLine="405"/>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现有设备统计时间截止为文件下发之日。</w:t>
      </w: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12. 校内外实验实训实习实践中心/基地情况表</w:t>
      </w:r>
    </w:p>
    <w:tbl>
      <w:tblPr>
        <w:tblStyle w:val="6"/>
        <w:tblW w:w="148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1"/>
        <w:gridCol w:w="1847"/>
        <w:gridCol w:w="924"/>
        <w:gridCol w:w="1435"/>
        <w:gridCol w:w="2324"/>
        <w:gridCol w:w="2326"/>
        <w:gridCol w:w="2174"/>
        <w:gridCol w:w="2227"/>
        <w:gridCol w:w="8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7" w:hRule="atLeast"/>
        </w:trPr>
        <w:tc>
          <w:tcPr>
            <w:tcW w:w="771"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序号</w:t>
            </w:r>
          </w:p>
        </w:tc>
        <w:tc>
          <w:tcPr>
            <w:tcW w:w="1847"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中心/基地名称</w:t>
            </w:r>
          </w:p>
        </w:tc>
        <w:tc>
          <w:tcPr>
            <w:tcW w:w="924"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校内/外</w:t>
            </w:r>
          </w:p>
        </w:tc>
        <w:tc>
          <w:tcPr>
            <w:tcW w:w="1435"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依托单位</w:t>
            </w:r>
          </w:p>
        </w:tc>
        <w:tc>
          <w:tcPr>
            <w:tcW w:w="9051" w:type="dxa"/>
            <w:gridSpan w:val="4"/>
            <w:tcBorders>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实验、实训、实习学生人次数</w:t>
            </w:r>
          </w:p>
        </w:tc>
        <w:tc>
          <w:tcPr>
            <w:tcW w:w="866"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7" w:hRule="atLeast"/>
        </w:trPr>
        <w:tc>
          <w:tcPr>
            <w:tcW w:w="771"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84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924"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43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32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2016/2017学年</w:t>
            </w:r>
          </w:p>
        </w:tc>
        <w:tc>
          <w:tcPr>
            <w:tcW w:w="232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2017/2018学年</w:t>
            </w:r>
          </w:p>
        </w:tc>
        <w:tc>
          <w:tcPr>
            <w:tcW w:w="21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2018/2019学年</w:t>
            </w:r>
          </w:p>
        </w:tc>
        <w:tc>
          <w:tcPr>
            <w:tcW w:w="2227" w:type="dxa"/>
            <w:tcBorders>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2019/2020学年</w:t>
            </w:r>
          </w:p>
        </w:tc>
        <w:tc>
          <w:tcPr>
            <w:tcW w:w="866"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7" w:hRule="atLeast"/>
        </w:trPr>
        <w:tc>
          <w:tcPr>
            <w:tcW w:w="77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p>
        </w:tc>
        <w:tc>
          <w:tcPr>
            <w:tcW w:w="184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仿宋" w:hAnsi="仿宋" w:eastAsia="仿宋"/>
                <w:sz w:val="24"/>
                <w:szCs w:val="24"/>
              </w:rPr>
              <w:t>经管系第一综合实训室</w:t>
            </w:r>
          </w:p>
        </w:tc>
        <w:tc>
          <w:tcPr>
            <w:tcW w:w="92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校内</w:t>
            </w:r>
          </w:p>
        </w:tc>
        <w:tc>
          <w:tcPr>
            <w:tcW w:w="143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南宁师范大学师园学院</w:t>
            </w:r>
          </w:p>
        </w:tc>
        <w:tc>
          <w:tcPr>
            <w:tcW w:w="232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185</w:t>
            </w:r>
          </w:p>
        </w:tc>
        <w:tc>
          <w:tcPr>
            <w:tcW w:w="232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185</w:t>
            </w:r>
          </w:p>
        </w:tc>
        <w:tc>
          <w:tcPr>
            <w:tcW w:w="21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839</w:t>
            </w:r>
          </w:p>
        </w:tc>
        <w:tc>
          <w:tcPr>
            <w:tcW w:w="222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337</w:t>
            </w:r>
          </w:p>
        </w:tc>
        <w:tc>
          <w:tcPr>
            <w:tcW w:w="86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8" w:hRule="atLeast"/>
        </w:trPr>
        <w:tc>
          <w:tcPr>
            <w:tcW w:w="771"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p>
        </w:tc>
        <w:tc>
          <w:tcPr>
            <w:tcW w:w="1847"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p>
        </w:tc>
        <w:tc>
          <w:tcPr>
            <w:tcW w:w="924"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p>
        </w:tc>
        <w:tc>
          <w:tcPr>
            <w:tcW w:w="1435"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p>
        </w:tc>
        <w:tc>
          <w:tcPr>
            <w:tcW w:w="2324"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p>
        </w:tc>
        <w:tc>
          <w:tcPr>
            <w:tcW w:w="2326"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p>
        </w:tc>
        <w:tc>
          <w:tcPr>
            <w:tcW w:w="2174"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p>
        </w:tc>
        <w:tc>
          <w:tcPr>
            <w:tcW w:w="2227"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p>
        </w:tc>
        <w:tc>
          <w:tcPr>
            <w:tcW w:w="86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bl>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注：校外实习实践基地指有协议的实习实践基地。</w:t>
      </w:r>
    </w:p>
    <w:p>
      <w:pPr>
        <w:widowControl w:val="0"/>
        <w:adjustRightInd/>
        <w:snapToGrid/>
        <w:spacing w:after="0" w:line="300" w:lineRule="exact"/>
        <w:ind w:firstLine="405"/>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实习学生人次数统计时间按学年计算，1人次指1名学生完成教学计划中的一个完整实习环节。</w:t>
      </w:r>
    </w:p>
    <w:p>
      <w:pPr>
        <w:widowControl w:val="0"/>
        <w:adjustRightInd/>
        <w:snapToGrid/>
        <w:spacing w:after="0" w:line="300" w:lineRule="exact"/>
        <w:rPr>
          <w:rFonts w:ascii="Times New Roman" w:hAnsi="Times New Roman" w:eastAsia="仿宋"/>
          <w:snapToGrid w:val="0"/>
          <w:color w:val="000000"/>
          <w:kern w:val="2"/>
          <w:sz w:val="24"/>
          <w:szCs w:val="24"/>
        </w:rPr>
      </w:pPr>
    </w:p>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8"/>
          <w:szCs w:val="28"/>
        </w:rPr>
        <w:t>13. 开设比例汇总表</w:t>
      </w:r>
    </w:p>
    <w:tbl>
      <w:tblPr>
        <w:tblStyle w:val="6"/>
        <w:tblW w:w="146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55"/>
        <w:gridCol w:w="4430"/>
        <w:gridCol w:w="5318"/>
        <w:gridCol w:w="12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blHeader/>
        </w:trPr>
        <w:tc>
          <w:tcPr>
            <w:tcW w:w="365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年度</w:t>
            </w:r>
          </w:p>
        </w:tc>
        <w:tc>
          <w:tcPr>
            <w:tcW w:w="44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课群（或模块）名称</w:t>
            </w:r>
          </w:p>
        </w:tc>
        <w:tc>
          <w:tcPr>
            <w:tcW w:w="53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学时比例</w:t>
            </w:r>
          </w:p>
        </w:tc>
        <w:tc>
          <w:tcPr>
            <w:tcW w:w="1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3655"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2016-2017学年</w:t>
            </w:r>
          </w:p>
        </w:tc>
        <w:tc>
          <w:tcPr>
            <w:tcW w:w="44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公共必修课</w:t>
            </w:r>
          </w:p>
        </w:tc>
        <w:tc>
          <w:tcPr>
            <w:tcW w:w="53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27.5%</w:t>
            </w:r>
          </w:p>
        </w:tc>
        <w:tc>
          <w:tcPr>
            <w:tcW w:w="1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4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公共必修课</w:t>
            </w:r>
          </w:p>
        </w:tc>
        <w:tc>
          <w:tcPr>
            <w:tcW w:w="53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3.8%</w:t>
            </w:r>
          </w:p>
        </w:tc>
        <w:tc>
          <w:tcPr>
            <w:tcW w:w="1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4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学科基础课</w:t>
            </w:r>
          </w:p>
        </w:tc>
        <w:tc>
          <w:tcPr>
            <w:tcW w:w="53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13.1%</w:t>
            </w:r>
          </w:p>
        </w:tc>
        <w:tc>
          <w:tcPr>
            <w:tcW w:w="1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4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专业必修课</w:t>
            </w:r>
          </w:p>
        </w:tc>
        <w:tc>
          <w:tcPr>
            <w:tcW w:w="53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22.5%</w:t>
            </w:r>
          </w:p>
        </w:tc>
        <w:tc>
          <w:tcPr>
            <w:tcW w:w="1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4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专业选修课</w:t>
            </w:r>
          </w:p>
        </w:tc>
        <w:tc>
          <w:tcPr>
            <w:tcW w:w="53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10.6%</w:t>
            </w:r>
          </w:p>
        </w:tc>
        <w:tc>
          <w:tcPr>
            <w:tcW w:w="1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4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职业课程</w:t>
            </w:r>
          </w:p>
        </w:tc>
        <w:tc>
          <w:tcPr>
            <w:tcW w:w="53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6.3%</w:t>
            </w:r>
          </w:p>
        </w:tc>
        <w:tc>
          <w:tcPr>
            <w:tcW w:w="1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4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实践及其他教学环节</w:t>
            </w:r>
          </w:p>
        </w:tc>
        <w:tc>
          <w:tcPr>
            <w:tcW w:w="53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16.2%</w:t>
            </w:r>
          </w:p>
        </w:tc>
        <w:tc>
          <w:tcPr>
            <w:tcW w:w="1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3655"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2017-2018学年</w:t>
            </w:r>
          </w:p>
        </w:tc>
        <w:tc>
          <w:tcPr>
            <w:tcW w:w="44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公共必修课</w:t>
            </w:r>
          </w:p>
        </w:tc>
        <w:tc>
          <w:tcPr>
            <w:tcW w:w="53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28.8%</w:t>
            </w:r>
          </w:p>
        </w:tc>
        <w:tc>
          <w:tcPr>
            <w:tcW w:w="1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4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公共必修课</w:t>
            </w:r>
          </w:p>
        </w:tc>
        <w:tc>
          <w:tcPr>
            <w:tcW w:w="53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3.8%</w:t>
            </w:r>
          </w:p>
        </w:tc>
        <w:tc>
          <w:tcPr>
            <w:tcW w:w="1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4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学科基础课</w:t>
            </w:r>
          </w:p>
        </w:tc>
        <w:tc>
          <w:tcPr>
            <w:tcW w:w="53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13.8%</w:t>
            </w:r>
          </w:p>
        </w:tc>
        <w:tc>
          <w:tcPr>
            <w:tcW w:w="1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4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专业必修课</w:t>
            </w:r>
          </w:p>
        </w:tc>
        <w:tc>
          <w:tcPr>
            <w:tcW w:w="53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21.9%</w:t>
            </w:r>
          </w:p>
        </w:tc>
        <w:tc>
          <w:tcPr>
            <w:tcW w:w="1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4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专业选修课</w:t>
            </w:r>
          </w:p>
        </w:tc>
        <w:tc>
          <w:tcPr>
            <w:tcW w:w="53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10.6%</w:t>
            </w:r>
          </w:p>
        </w:tc>
        <w:tc>
          <w:tcPr>
            <w:tcW w:w="1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4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职业课程</w:t>
            </w:r>
          </w:p>
        </w:tc>
        <w:tc>
          <w:tcPr>
            <w:tcW w:w="53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6.3%</w:t>
            </w:r>
          </w:p>
        </w:tc>
        <w:tc>
          <w:tcPr>
            <w:tcW w:w="1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4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实践及其他教学环节</w:t>
            </w:r>
          </w:p>
        </w:tc>
        <w:tc>
          <w:tcPr>
            <w:tcW w:w="53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15%</w:t>
            </w:r>
          </w:p>
        </w:tc>
        <w:tc>
          <w:tcPr>
            <w:tcW w:w="1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3655"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2018-2019学年</w:t>
            </w:r>
          </w:p>
        </w:tc>
        <w:tc>
          <w:tcPr>
            <w:tcW w:w="44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通识必修课</w:t>
            </w:r>
          </w:p>
        </w:tc>
        <w:tc>
          <w:tcPr>
            <w:tcW w:w="53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27.5%</w:t>
            </w:r>
          </w:p>
        </w:tc>
        <w:tc>
          <w:tcPr>
            <w:tcW w:w="1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4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通知选修课</w:t>
            </w:r>
          </w:p>
        </w:tc>
        <w:tc>
          <w:tcPr>
            <w:tcW w:w="53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3.8%</w:t>
            </w:r>
          </w:p>
        </w:tc>
        <w:tc>
          <w:tcPr>
            <w:tcW w:w="1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4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学科基础课</w:t>
            </w:r>
          </w:p>
        </w:tc>
        <w:tc>
          <w:tcPr>
            <w:tcW w:w="53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8.1%</w:t>
            </w:r>
          </w:p>
        </w:tc>
        <w:tc>
          <w:tcPr>
            <w:tcW w:w="1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4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专业必修课</w:t>
            </w:r>
          </w:p>
        </w:tc>
        <w:tc>
          <w:tcPr>
            <w:tcW w:w="53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16.3%</w:t>
            </w:r>
          </w:p>
        </w:tc>
        <w:tc>
          <w:tcPr>
            <w:tcW w:w="1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4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专业选修课</w:t>
            </w:r>
          </w:p>
        </w:tc>
        <w:tc>
          <w:tcPr>
            <w:tcW w:w="53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23.1%</w:t>
            </w:r>
          </w:p>
        </w:tc>
        <w:tc>
          <w:tcPr>
            <w:tcW w:w="1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4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职业课程</w:t>
            </w:r>
          </w:p>
        </w:tc>
        <w:tc>
          <w:tcPr>
            <w:tcW w:w="53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6.3%</w:t>
            </w:r>
          </w:p>
        </w:tc>
        <w:tc>
          <w:tcPr>
            <w:tcW w:w="1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4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实践类课程</w:t>
            </w:r>
          </w:p>
        </w:tc>
        <w:tc>
          <w:tcPr>
            <w:tcW w:w="53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15%</w:t>
            </w:r>
          </w:p>
        </w:tc>
        <w:tc>
          <w:tcPr>
            <w:tcW w:w="1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3655"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2019-2020学年</w:t>
            </w:r>
          </w:p>
        </w:tc>
        <w:tc>
          <w:tcPr>
            <w:tcW w:w="44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通识必修课</w:t>
            </w:r>
          </w:p>
        </w:tc>
        <w:tc>
          <w:tcPr>
            <w:tcW w:w="53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27.5%</w:t>
            </w:r>
          </w:p>
        </w:tc>
        <w:tc>
          <w:tcPr>
            <w:tcW w:w="1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4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通知选修课</w:t>
            </w:r>
          </w:p>
        </w:tc>
        <w:tc>
          <w:tcPr>
            <w:tcW w:w="53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3.75%</w:t>
            </w:r>
          </w:p>
        </w:tc>
        <w:tc>
          <w:tcPr>
            <w:tcW w:w="1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4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学科基础课</w:t>
            </w:r>
          </w:p>
        </w:tc>
        <w:tc>
          <w:tcPr>
            <w:tcW w:w="53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8.13%</w:t>
            </w:r>
          </w:p>
        </w:tc>
        <w:tc>
          <w:tcPr>
            <w:tcW w:w="1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4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专业必修课</w:t>
            </w:r>
          </w:p>
        </w:tc>
        <w:tc>
          <w:tcPr>
            <w:tcW w:w="53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22.5%</w:t>
            </w:r>
          </w:p>
        </w:tc>
        <w:tc>
          <w:tcPr>
            <w:tcW w:w="1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4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专业选修课</w:t>
            </w:r>
          </w:p>
        </w:tc>
        <w:tc>
          <w:tcPr>
            <w:tcW w:w="53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15.63%</w:t>
            </w:r>
          </w:p>
        </w:tc>
        <w:tc>
          <w:tcPr>
            <w:tcW w:w="1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4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职业课程</w:t>
            </w:r>
          </w:p>
        </w:tc>
        <w:tc>
          <w:tcPr>
            <w:tcW w:w="53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6.25%</w:t>
            </w:r>
          </w:p>
        </w:tc>
        <w:tc>
          <w:tcPr>
            <w:tcW w:w="1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4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实践类课程</w:t>
            </w:r>
          </w:p>
        </w:tc>
        <w:tc>
          <w:tcPr>
            <w:tcW w:w="53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16.25%</w:t>
            </w:r>
          </w:p>
        </w:tc>
        <w:tc>
          <w:tcPr>
            <w:tcW w:w="1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bl>
    <w:p>
      <w:pPr>
        <w:widowControl w:val="0"/>
        <w:adjustRightInd/>
        <w:snapToGrid/>
        <w:spacing w:after="0" w:line="300" w:lineRule="exact"/>
        <w:ind w:left="480" w:hanging="480" w:hangingChars="200"/>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年度是指培养方案开始实施的学年度，例如2016/2017学年开始实施的培养方案当中包括A课群、B课群、C课群……，如学院在2017年度对人才培养方案进行了修订，则填写2017/2018学年开始实施的培养方案当中所包括的课群。</w:t>
      </w:r>
    </w:p>
    <w:p>
      <w:pPr>
        <w:widowControl w:val="0"/>
        <w:adjustRightInd/>
        <w:snapToGrid/>
        <w:spacing w:after="0" w:line="300" w:lineRule="exact"/>
        <w:ind w:left="480" w:hanging="480" w:hangingChars="200"/>
        <w:rPr>
          <w:rFonts w:ascii="Times New Roman" w:hAnsi="Times New Roman" w:eastAsia="仿宋"/>
          <w:snapToGrid w:val="0"/>
          <w:color w:val="000000"/>
          <w:kern w:val="2"/>
          <w:sz w:val="24"/>
          <w:szCs w:val="24"/>
        </w:rPr>
      </w:pPr>
    </w:p>
    <w:p>
      <w:pPr>
        <w:widowControl w:val="0"/>
        <w:adjustRightInd/>
        <w:snapToGrid/>
        <w:spacing w:after="0" w:line="300" w:lineRule="exact"/>
        <w:ind w:left="480" w:hanging="480" w:hangingChars="200"/>
        <w:rPr>
          <w:rFonts w:ascii="Times New Roman" w:hAnsi="Times New Roman" w:eastAsia="仿宋"/>
          <w:snapToGrid w:val="0"/>
          <w:color w:val="000000"/>
          <w:kern w:val="2"/>
          <w:sz w:val="24"/>
          <w:szCs w:val="24"/>
        </w:rPr>
      </w:pPr>
    </w:p>
    <w:p>
      <w:pPr>
        <w:widowControl w:val="0"/>
        <w:adjustRightInd/>
        <w:snapToGrid/>
        <w:spacing w:after="0" w:line="300" w:lineRule="exact"/>
        <w:ind w:left="480" w:hanging="480" w:hangingChars="200"/>
        <w:rPr>
          <w:rFonts w:ascii="Times New Roman" w:hAnsi="Times New Roman" w:eastAsia="仿宋"/>
          <w:snapToGrid w:val="0"/>
          <w:color w:val="000000"/>
          <w:kern w:val="2"/>
          <w:sz w:val="24"/>
          <w:szCs w:val="24"/>
        </w:rPr>
      </w:pPr>
    </w:p>
    <w:p>
      <w:pPr>
        <w:widowControl w:val="0"/>
        <w:tabs>
          <w:tab w:val="left" w:pos="10335"/>
        </w:tabs>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ab/>
      </w: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14. 开设以来的专业培养方案中理论课学时与实践学时比例汇总表</w:t>
      </w:r>
    </w:p>
    <w:tbl>
      <w:tblPr>
        <w:tblStyle w:val="6"/>
        <w:tblW w:w="146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27"/>
        <w:gridCol w:w="2927"/>
        <w:gridCol w:w="3896"/>
        <w:gridCol w:w="3655"/>
        <w:gridCol w:w="1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5" w:hRule="atLeast"/>
          <w:tblHeader/>
        </w:trPr>
        <w:tc>
          <w:tcPr>
            <w:tcW w:w="292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年度</w:t>
            </w:r>
          </w:p>
        </w:tc>
        <w:tc>
          <w:tcPr>
            <w:tcW w:w="292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类别</w:t>
            </w:r>
          </w:p>
        </w:tc>
        <w:tc>
          <w:tcPr>
            <w:tcW w:w="389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学时数</w:t>
            </w:r>
          </w:p>
        </w:tc>
        <w:tc>
          <w:tcPr>
            <w:tcW w:w="365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占总学时的比例</w:t>
            </w:r>
          </w:p>
        </w:tc>
        <w:tc>
          <w:tcPr>
            <w:tcW w:w="123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 w:hRule="atLeast"/>
        </w:trPr>
        <w:tc>
          <w:tcPr>
            <w:tcW w:w="2927"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2016-2017学年</w:t>
            </w:r>
          </w:p>
        </w:tc>
        <w:tc>
          <w:tcPr>
            <w:tcW w:w="292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理论学时</w:t>
            </w:r>
          </w:p>
        </w:tc>
        <w:tc>
          <w:tcPr>
            <w:tcW w:w="389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themeColor="text1"/>
                <w:kern w:val="2"/>
                <w:sz w:val="24"/>
                <w:szCs w:val="24"/>
                <w14:textFill>
                  <w14:solidFill>
                    <w14:schemeClr w14:val="tx1"/>
                  </w14:solidFill>
                </w14:textFill>
              </w:rPr>
              <w:t>1566</w:t>
            </w:r>
          </w:p>
        </w:tc>
        <w:tc>
          <w:tcPr>
            <w:tcW w:w="365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54.53%</w:t>
            </w:r>
          </w:p>
        </w:tc>
        <w:tc>
          <w:tcPr>
            <w:tcW w:w="123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4" w:hRule="atLeast"/>
        </w:trPr>
        <w:tc>
          <w:tcPr>
            <w:tcW w:w="292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2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实践学时</w:t>
            </w:r>
          </w:p>
        </w:tc>
        <w:tc>
          <w:tcPr>
            <w:tcW w:w="389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1306</w:t>
            </w:r>
          </w:p>
        </w:tc>
        <w:tc>
          <w:tcPr>
            <w:tcW w:w="365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45.47%</w:t>
            </w:r>
          </w:p>
        </w:tc>
        <w:tc>
          <w:tcPr>
            <w:tcW w:w="123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292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2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计划总学时</w:t>
            </w:r>
          </w:p>
        </w:tc>
        <w:tc>
          <w:tcPr>
            <w:tcW w:w="389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2872</w:t>
            </w:r>
          </w:p>
        </w:tc>
        <w:tc>
          <w:tcPr>
            <w:tcW w:w="365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123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2927"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2017-2018学年</w:t>
            </w:r>
          </w:p>
        </w:tc>
        <w:tc>
          <w:tcPr>
            <w:tcW w:w="292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理论学时</w:t>
            </w:r>
          </w:p>
        </w:tc>
        <w:tc>
          <w:tcPr>
            <w:tcW w:w="389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1526</w:t>
            </w:r>
          </w:p>
        </w:tc>
        <w:tc>
          <w:tcPr>
            <w:tcW w:w="365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55.29%</w:t>
            </w:r>
          </w:p>
        </w:tc>
        <w:tc>
          <w:tcPr>
            <w:tcW w:w="123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292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2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实践学时</w:t>
            </w:r>
          </w:p>
        </w:tc>
        <w:tc>
          <w:tcPr>
            <w:tcW w:w="389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1234</w:t>
            </w:r>
          </w:p>
        </w:tc>
        <w:tc>
          <w:tcPr>
            <w:tcW w:w="365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44.71%</w:t>
            </w:r>
          </w:p>
        </w:tc>
        <w:tc>
          <w:tcPr>
            <w:tcW w:w="123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292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2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计划总学时</w:t>
            </w:r>
          </w:p>
        </w:tc>
        <w:tc>
          <w:tcPr>
            <w:tcW w:w="389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2760</w:t>
            </w:r>
          </w:p>
        </w:tc>
        <w:tc>
          <w:tcPr>
            <w:tcW w:w="365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123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2927"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2018-2019学年</w:t>
            </w:r>
          </w:p>
        </w:tc>
        <w:tc>
          <w:tcPr>
            <w:tcW w:w="292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理论学时</w:t>
            </w:r>
          </w:p>
        </w:tc>
        <w:tc>
          <w:tcPr>
            <w:tcW w:w="389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1558</w:t>
            </w:r>
          </w:p>
        </w:tc>
        <w:tc>
          <w:tcPr>
            <w:tcW w:w="365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56.45%</w:t>
            </w:r>
          </w:p>
        </w:tc>
        <w:tc>
          <w:tcPr>
            <w:tcW w:w="123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292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2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实践学时</w:t>
            </w:r>
          </w:p>
        </w:tc>
        <w:tc>
          <w:tcPr>
            <w:tcW w:w="389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1202</w:t>
            </w:r>
          </w:p>
        </w:tc>
        <w:tc>
          <w:tcPr>
            <w:tcW w:w="365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43.55%</w:t>
            </w:r>
          </w:p>
        </w:tc>
        <w:tc>
          <w:tcPr>
            <w:tcW w:w="123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292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2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计划总学时</w:t>
            </w:r>
          </w:p>
        </w:tc>
        <w:tc>
          <w:tcPr>
            <w:tcW w:w="389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2760</w:t>
            </w:r>
          </w:p>
        </w:tc>
        <w:tc>
          <w:tcPr>
            <w:tcW w:w="365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123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2927"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2019-2020学年</w:t>
            </w:r>
          </w:p>
        </w:tc>
        <w:tc>
          <w:tcPr>
            <w:tcW w:w="292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理论学时</w:t>
            </w:r>
          </w:p>
        </w:tc>
        <w:tc>
          <w:tcPr>
            <w:tcW w:w="389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1530</w:t>
            </w:r>
          </w:p>
        </w:tc>
        <w:tc>
          <w:tcPr>
            <w:tcW w:w="365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55.43%</w:t>
            </w:r>
          </w:p>
        </w:tc>
        <w:tc>
          <w:tcPr>
            <w:tcW w:w="123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292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2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实践学时</w:t>
            </w:r>
          </w:p>
        </w:tc>
        <w:tc>
          <w:tcPr>
            <w:tcW w:w="389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1230</w:t>
            </w:r>
          </w:p>
        </w:tc>
        <w:tc>
          <w:tcPr>
            <w:tcW w:w="365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44.57%</w:t>
            </w:r>
          </w:p>
        </w:tc>
        <w:tc>
          <w:tcPr>
            <w:tcW w:w="123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292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2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计划总学时</w:t>
            </w:r>
          </w:p>
        </w:tc>
        <w:tc>
          <w:tcPr>
            <w:tcW w:w="389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2760</w:t>
            </w:r>
          </w:p>
        </w:tc>
        <w:tc>
          <w:tcPr>
            <w:tcW w:w="365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123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bl>
    <w:p>
      <w:pPr>
        <w:widowControl w:val="0"/>
        <w:adjustRightInd/>
        <w:snapToGrid/>
        <w:spacing w:after="0" w:line="300" w:lineRule="exact"/>
        <w:ind w:left="480" w:hanging="480" w:hangingChars="200"/>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注：理论学时是指各课程的课堂教学学时，实践学时包括课程的实验学时、实践环节课程学时以及毕业设计（论文）的学时。年度是指培养方案开始实施的学年度，理解同表13</w:t>
      </w:r>
      <w:r>
        <w:rPr>
          <w:rFonts w:hint="eastAsia" w:ascii="Times New Roman" w:hAnsi="Times New Roman" w:eastAsia="仿宋"/>
          <w:snapToGrid w:val="0"/>
          <w:color w:val="000000"/>
          <w:kern w:val="2"/>
          <w:sz w:val="24"/>
          <w:szCs w:val="24"/>
        </w:rPr>
        <w:t>。</w:t>
      </w:r>
    </w:p>
    <w:p>
      <w:pPr>
        <w:widowControl w:val="0"/>
        <w:adjustRightInd/>
        <w:snapToGrid/>
        <w:spacing w:after="0" w:line="300" w:lineRule="exact"/>
        <w:rPr>
          <w:rFonts w:ascii="Times New Roman" w:hAnsi="Times New Roman" w:eastAsia="仿宋"/>
          <w:snapToGrid w:val="0"/>
          <w:color w:val="000000"/>
          <w:kern w:val="2"/>
          <w:sz w:val="28"/>
          <w:szCs w:val="28"/>
        </w:rPr>
      </w:pPr>
    </w:p>
    <w:p>
      <w:pPr>
        <w:widowControl w:val="0"/>
        <w:adjustRightInd/>
        <w:snapToGrid/>
        <w:spacing w:after="0" w:line="300" w:lineRule="exact"/>
        <w:rPr>
          <w:rFonts w:ascii="Times New Roman" w:hAnsi="Times New Roman" w:eastAsia="仿宋"/>
          <w:snapToGrid w:val="0"/>
          <w:color w:val="000000"/>
          <w:kern w:val="2"/>
          <w:sz w:val="28"/>
          <w:szCs w:val="28"/>
        </w:rPr>
      </w:pP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15. 开设以来的专业培养方案中课程的各种类型实验学时比例汇总表</w:t>
      </w:r>
    </w:p>
    <w:tbl>
      <w:tblPr>
        <w:tblStyle w:val="6"/>
        <w:tblW w:w="148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67"/>
        <w:gridCol w:w="2911"/>
        <w:gridCol w:w="4128"/>
        <w:gridCol w:w="3760"/>
        <w:gridCol w:w="1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 w:hRule="atLeast"/>
          <w:tblHeader/>
        </w:trPr>
        <w:tc>
          <w:tcPr>
            <w:tcW w:w="296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年度</w:t>
            </w: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类型</w:t>
            </w:r>
          </w:p>
        </w:tc>
        <w:tc>
          <w:tcPr>
            <w:tcW w:w="412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学时数</w:t>
            </w:r>
          </w:p>
        </w:tc>
        <w:tc>
          <w:tcPr>
            <w:tcW w:w="376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占实验总学时的比例</w:t>
            </w:r>
          </w:p>
        </w:tc>
        <w:tc>
          <w:tcPr>
            <w:tcW w:w="107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 w:hRule="atLeast"/>
        </w:trPr>
        <w:tc>
          <w:tcPr>
            <w:tcW w:w="2967"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2016-2017学年</w:t>
            </w: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验证型实验</w:t>
            </w:r>
          </w:p>
        </w:tc>
        <w:tc>
          <w:tcPr>
            <w:tcW w:w="4128"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810</w:t>
            </w:r>
          </w:p>
        </w:tc>
        <w:tc>
          <w:tcPr>
            <w:tcW w:w="3760"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62%</w:t>
            </w:r>
          </w:p>
        </w:tc>
        <w:tc>
          <w:tcPr>
            <w:tcW w:w="107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296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设计型实验</w:t>
            </w:r>
          </w:p>
        </w:tc>
        <w:tc>
          <w:tcPr>
            <w:tcW w:w="4128"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80</w:t>
            </w:r>
          </w:p>
        </w:tc>
        <w:tc>
          <w:tcPr>
            <w:tcW w:w="3760"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6%</w:t>
            </w:r>
          </w:p>
        </w:tc>
        <w:tc>
          <w:tcPr>
            <w:tcW w:w="107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trPr>
        <w:tc>
          <w:tcPr>
            <w:tcW w:w="296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综合型实验</w:t>
            </w:r>
          </w:p>
        </w:tc>
        <w:tc>
          <w:tcPr>
            <w:tcW w:w="4128"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384</w:t>
            </w:r>
          </w:p>
        </w:tc>
        <w:tc>
          <w:tcPr>
            <w:tcW w:w="3760"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29%</w:t>
            </w:r>
          </w:p>
        </w:tc>
        <w:tc>
          <w:tcPr>
            <w:tcW w:w="107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296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创新型实验</w:t>
            </w:r>
          </w:p>
        </w:tc>
        <w:tc>
          <w:tcPr>
            <w:tcW w:w="4128"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32</w:t>
            </w:r>
          </w:p>
        </w:tc>
        <w:tc>
          <w:tcPr>
            <w:tcW w:w="3760"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3%</w:t>
            </w:r>
          </w:p>
        </w:tc>
        <w:tc>
          <w:tcPr>
            <w:tcW w:w="107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 w:hRule="atLeast"/>
        </w:trPr>
        <w:tc>
          <w:tcPr>
            <w:tcW w:w="2967"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2017-2018学年</w:t>
            </w: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验证型实验</w:t>
            </w:r>
          </w:p>
        </w:tc>
        <w:tc>
          <w:tcPr>
            <w:tcW w:w="4128"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790</w:t>
            </w:r>
          </w:p>
        </w:tc>
        <w:tc>
          <w:tcPr>
            <w:tcW w:w="3760"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64%</w:t>
            </w:r>
          </w:p>
        </w:tc>
        <w:tc>
          <w:tcPr>
            <w:tcW w:w="107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 w:hRule="atLeast"/>
        </w:trPr>
        <w:tc>
          <w:tcPr>
            <w:tcW w:w="296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设计型实验</w:t>
            </w:r>
          </w:p>
        </w:tc>
        <w:tc>
          <w:tcPr>
            <w:tcW w:w="4128"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60</w:t>
            </w:r>
          </w:p>
        </w:tc>
        <w:tc>
          <w:tcPr>
            <w:tcW w:w="3760"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5%</w:t>
            </w:r>
          </w:p>
        </w:tc>
        <w:tc>
          <w:tcPr>
            <w:tcW w:w="107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 w:hRule="atLeast"/>
        </w:trPr>
        <w:tc>
          <w:tcPr>
            <w:tcW w:w="296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综合型实验</w:t>
            </w:r>
          </w:p>
        </w:tc>
        <w:tc>
          <w:tcPr>
            <w:tcW w:w="4128"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352</w:t>
            </w:r>
          </w:p>
        </w:tc>
        <w:tc>
          <w:tcPr>
            <w:tcW w:w="3760"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29%</w:t>
            </w:r>
          </w:p>
        </w:tc>
        <w:tc>
          <w:tcPr>
            <w:tcW w:w="107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296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创新型实验</w:t>
            </w:r>
          </w:p>
        </w:tc>
        <w:tc>
          <w:tcPr>
            <w:tcW w:w="4128"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32</w:t>
            </w:r>
          </w:p>
        </w:tc>
        <w:tc>
          <w:tcPr>
            <w:tcW w:w="3760"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ascii="Times New Roman" w:hAnsi="Times New Roman" w:eastAsia="仿宋"/>
                <w:snapToGrid w:val="0"/>
                <w:color w:val="000000" w:themeColor="text1"/>
                <w:kern w:val="2"/>
                <w:sz w:val="24"/>
                <w:szCs w:val="24"/>
                <w14:textFill>
                  <w14:solidFill>
                    <w14:schemeClr w14:val="tx1"/>
                  </w14:solidFill>
                </w14:textFill>
              </w:rPr>
              <w:t>2</w:t>
            </w:r>
            <w:r>
              <w:rPr>
                <w:rFonts w:hint="eastAsia" w:ascii="Times New Roman" w:hAnsi="Times New Roman" w:eastAsia="仿宋"/>
                <w:snapToGrid w:val="0"/>
                <w:color w:val="000000" w:themeColor="text1"/>
                <w:kern w:val="2"/>
                <w:sz w:val="24"/>
                <w:szCs w:val="24"/>
                <w14:textFill>
                  <w14:solidFill>
                    <w14:schemeClr w14:val="tx1"/>
                  </w14:solidFill>
                </w14:textFill>
              </w:rPr>
              <w:t>%</w:t>
            </w:r>
          </w:p>
        </w:tc>
        <w:tc>
          <w:tcPr>
            <w:tcW w:w="107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2967"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2018-2019学年</w:t>
            </w: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验证型实验</w:t>
            </w:r>
          </w:p>
        </w:tc>
        <w:tc>
          <w:tcPr>
            <w:tcW w:w="4128"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758</w:t>
            </w:r>
          </w:p>
        </w:tc>
        <w:tc>
          <w:tcPr>
            <w:tcW w:w="3760"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63%</w:t>
            </w:r>
          </w:p>
        </w:tc>
        <w:tc>
          <w:tcPr>
            <w:tcW w:w="107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296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设计型实验</w:t>
            </w:r>
          </w:p>
        </w:tc>
        <w:tc>
          <w:tcPr>
            <w:tcW w:w="4128"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60</w:t>
            </w:r>
          </w:p>
        </w:tc>
        <w:tc>
          <w:tcPr>
            <w:tcW w:w="3760"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5%</w:t>
            </w:r>
          </w:p>
        </w:tc>
        <w:tc>
          <w:tcPr>
            <w:tcW w:w="107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296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综合型实验</w:t>
            </w:r>
          </w:p>
        </w:tc>
        <w:tc>
          <w:tcPr>
            <w:tcW w:w="4128"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336</w:t>
            </w:r>
          </w:p>
        </w:tc>
        <w:tc>
          <w:tcPr>
            <w:tcW w:w="3760"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28%</w:t>
            </w:r>
          </w:p>
        </w:tc>
        <w:tc>
          <w:tcPr>
            <w:tcW w:w="107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296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创新型实验</w:t>
            </w:r>
          </w:p>
        </w:tc>
        <w:tc>
          <w:tcPr>
            <w:tcW w:w="4128"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48</w:t>
            </w:r>
          </w:p>
        </w:tc>
        <w:tc>
          <w:tcPr>
            <w:tcW w:w="3760"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4%</w:t>
            </w:r>
          </w:p>
        </w:tc>
        <w:tc>
          <w:tcPr>
            <w:tcW w:w="107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2967"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2019-2020学年</w:t>
            </w: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验证型实验</w:t>
            </w:r>
          </w:p>
        </w:tc>
        <w:tc>
          <w:tcPr>
            <w:tcW w:w="4128"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786</w:t>
            </w:r>
          </w:p>
        </w:tc>
        <w:tc>
          <w:tcPr>
            <w:tcW w:w="3760"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64%</w:t>
            </w:r>
          </w:p>
        </w:tc>
        <w:tc>
          <w:tcPr>
            <w:tcW w:w="107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296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设计型实验</w:t>
            </w:r>
          </w:p>
        </w:tc>
        <w:tc>
          <w:tcPr>
            <w:tcW w:w="4128"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60</w:t>
            </w:r>
          </w:p>
        </w:tc>
        <w:tc>
          <w:tcPr>
            <w:tcW w:w="3760"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ascii="Times New Roman" w:hAnsi="Times New Roman" w:eastAsia="仿宋"/>
                <w:snapToGrid w:val="0"/>
                <w:color w:val="000000" w:themeColor="text1"/>
                <w:kern w:val="2"/>
                <w:sz w:val="24"/>
                <w:szCs w:val="24"/>
                <w14:textFill>
                  <w14:solidFill>
                    <w14:schemeClr w14:val="tx1"/>
                  </w14:solidFill>
                </w14:textFill>
              </w:rPr>
              <w:t>5</w:t>
            </w:r>
            <w:r>
              <w:rPr>
                <w:rFonts w:hint="eastAsia" w:ascii="Times New Roman" w:hAnsi="Times New Roman" w:eastAsia="仿宋"/>
                <w:snapToGrid w:val="0"/>
                <w:color w:val="000000" w:themeColor="text1"/>
                <w:kern w:val="2"/>
                <w:sz w:val="24"/>
                <w:szCs w:val="24"/>
                <w14:textFill>
                  <w14:solidFill>
                    <w14:schemeClr w14:val="tx1"/>
                  </w14:solidFill>
                </w14:textFill>
              </w:rPr>
              <w:t>%</w:t>
            </w:r>
          </w:p>
        </w:tc>
        <w:tc>
          <w:tcPr>
            <w:tcW w:w="107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296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综合型实验</w:t>
            </w:r>
          </w:p>
        </w:tc>
        <w:tc>
          <w:tcPr>
            <w:tcW w:w="4128"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336</w:t>
            </w:r>
          </w:p>
        </w:tc>
        <w:tc>
          <w:tcPr>
            <w:tcW w:w="3760"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27%</w:t>
            </w:r>
          </w:p>
        </w:tc>
        <w:tc>
          <w:tcPr>
            <w:tcW w:w="107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296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创新型实验</w:t>
            </w:r>
          </w:p>
        </w:tc>
        <w:tc>
          <w:tcPr>
            <w:tcW w:w="4128"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48</w:t>
            </w:r>
          </w:p>
        </w:tc>
        <w:tc>
          <w:tcPr>
            <w:tcW w:w="3760"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r>
              <w:rPr>
                <w:rFonts w:hint="eastAsia" w:ascii="Times New Roman" w:hAnsi="Times New Roman" w:eastAsia="仿宋"/>
                <w:snapToGrid w:val="0"/>
                <w:color w:val="000000" w:themeColor="text1"/>
                <w:kern w:val="2"/>
                <w:sz w:val="24"/>
                <w:szCs w:val="24"/>
                <w14:textFill>
                  <w14:solidFill>
                    <w14:schemeClr w14:val="tx1"/>
                  </w14:solidFill>
                </w14:textFill>
              </w:rPr>
              <w:t>4%</w:t>
            </w:r>
          </w:p>
        </w:tc>
        <w:tc>
          <w:tcPr>
            <w:tcW w:w="107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bl>
    <w:p>
      <w:pPr>
        <w:widowControl w:val="0"/>
        <w:adjustRightInd/>
        <w:snapToGrid/>
        <w:spacing w:after="0" w:line="300" w:lineRule="exact"/>
        <w:ind w:firstLine="120" w:firstLineChars="50"/>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注：年度是指培养方案开始实施的学年度，理解同表13</w:t>
      </w:r>
      <w:r>
        <w:rPr>
          <w:rFonts w:hint="eastAsia" w:ascii="Times New Roman" w:hAnsi="Times New Roman" w:eastAsia="仿宋"/>
          <w:snapToGrid w:val="0"/>
          <w:color w:val="000000"/>
          <w:kern w:val="2"/>
          <w:sz w:val="24"/>
          <w:szCs w:val="24"/>
        </w:rPr>
        <w:t>。</w:t>
      </w:r>
    </w:p>
    <w:p>
      <w:pPr>
        <w:widowControl w:val="0"/>
        <w:adjustRightInd/>
        <w:snapToGrid/>
        <w:spacing w:after="0" w:line="300" w:lineRule="exact"/>
        <w:ind w:firstLine="120" w:firstLineChars="50"/>
        <w:rPr>
          <w:rFonts w:ascii="Times New Roman" w:hAnsi="Times New Roman" w:eastAsia="仿宋"/>
          <w:snapToGrid w:val="0"/>
          <w:color w:val="000000"/>
          <w:kern w:val="2"/>
          <w:sz w:val="24"/>
          <w:szCs w:val="24"/>
        </w:rPr>
      </w:pPr>
    </w:p>
    <w:p>
      <w:pPr>
        <w:widowControl w:val="0"/>
        <w:adjustRightInd/>
        <w:snapToGrid/>
        <w:spacing w:after="0" w:line="300" w:lineRule="exact"/>
        <w:ind w:firstLine="120" w:firstLineChars="50"/>
        <w:rPr>
          <w:rFonts w:ascii="Times New Roman" w:hAnsi="Times New Roman" w:eastAsia="仿宋"/>
          <w:snapToGrid w:val="0"/>
          <w:color w:val="000000"/>
          <w:kern w:val="2"/>
          <w:sz w:val="24"/>
          <w:szCs w:val="24"/>
        </w:rPr>
      </w:pP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16. 主要课程情况表</w:t>
      </w:r>
    </w:p>
    <w:tbl>
      <w:tblPr>
        <w:tblStyle w:val="6"/>
        <w:tblW w:w="151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2"/>
        <w:gridCol w:w="1950"/>
        <w:gridCol w:w="1105"/>
        <w:gridCol w:w="709"/>
        <w:gridCol w:w="142"/>
        <w:gridCol w:w="850"/>
        <w:gridCol w:w="142"/>
        <w:gridCol w:w="567"/>
        <w:gridCol w:w="425"/>
        <w:gridCol w:w="649"/>
        <w:gridCol w:w="296"/>
        <w:gridCol w:w="48"/>
        <w:gridCol w:w="976"/>
        <w:gridCol w:w="780"/>
        <w:gridCol w:w="634"/>
        <w:gridCol w:w="634"/>
        <w:gridCol w:w="639"/>
        <w:gridCol w:w="927"/>
        <w:gridCol w:w="780"/>
        <w:gridCol w:w="928"/>
        <w:gridCol w:w="9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blHeader/>
        </w:trPr>
        <w:tc>
          <w:tcPr>
            <w:tcW w:w="1022" w:type="dxa"/>
            <w:vMerge w:val="restart"/>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课程名称</w:t>
            </w:r>
          </w:p>
        </w:tc>
        <w:tc>
          <w:tcPr>
            <w:tcW w:w="1950" w:type="dxa"/>
            <w:vMerge w:val="restart"/>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教学方法、手段</w:t>
            </w:r>
          </w:p>
        </w:tc>
        <w:tc>
          <w:tcPr>
            <w:tcW w:w="1105" w:type="dxa"/>
            <w:vMerge w:val="restart"/>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理论学时</w:t>
            </w:r>
          </w:p>
        </w:tc>
        <w:tc>
          <w:tcPr>
            <w:tcW w:w="851" w:type="dxa"/>
            <w:gridSpan w:val="2"/>
            <w:vMerge w:val="restart"/>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实践学时</w:t>
            </w:r>
          </w:p>
        </w:tc>
        <w:tc>
          <w:tcPr>
            <w:tcW w:w="3953" w:type="dxa"/>
            <w:gridSpan w:val="8"/>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实验学时</w:t>
            </w:r>
          </w:p>
        </w:tc>
        <w:tc>
          <w:tcPr>
            <w:tcW w:w="780" w:type="dxa"/>
            <w:vMerge w:val="restart"/>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总学时</w:t>
            </w:r>
          </w:p>
        </w:tc>
        <w:tc>
          <w:tcPr>
            <w:tcW w:w="1907" w:type="dxa"/>
            <w:gridSpan w:val="3"/>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主讲教师</w:t>
            </w:r>
          </w:p>
        </w:tc>
        <w:tc>
          <w:tcPr>
            <w:tcW w:w="927" w:type="dxa"/>
            <w:vMerge w:val="restart"/>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考核方法</w:t>
            </w:r>
          </w:p>
        </w:tc>
        <w:tc>
          <w:tcPr>
            <w:tcW w:w="780" w:type="dxa"/>
            <w:vMerge w:val="restart"/>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通过率</w:t>
            </w:r>
          </w:p>
        </w:tc>
        <w:tc>
          <w:tcPr>
            <w:tcW w:w="928" w:type="dxa"/>
            <w:vMerge w:val="restart"/>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授课学期</w:t>
            </w:r>
          </w:p>
        </w:tc>
        <w:tc>
          <w:tcPr>
            <w:tcW w:w="928" w:type="dxa"/>
            <w:vMerge w:val="restart"/>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课程类别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blHeader/>
        </w:trPr>
        <w:tc>
          <w:tcPr>
            <w:tcW w:w="1022" w:type="dxa"/>
            <w:vMerge w:val="continue"/>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1950" w:type="dxa"/>
            <w:vMerge w:val="continue"/>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1105" w:type="dxa"/>
            <w:vMerge w:val="continue"/>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851" w:type="dxa"/>
            <w:gridSpan w:val="2"/>
            <w:vMerge w:val="continue"/>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92" w:type="dxa"/>
            <w:gridSpan w:val="2"/>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验证型实验</w:t>
            </w:r>
          </w:p>
        </w:tc>
        <w:tc>
          <w:tcPr>
            <w:tcW w:w="992" w:type="dxa"/>
            <w:gridSpan w:val="2"/>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设计型实验</w:t>
            </w:r>
          </w:p>
        </w:tc>
        <w:tc>
          <w:tcPr>
            <w:tcW w:w="993" w:type="dxa"/>
            <w:gridSpan w:val="3"/>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综合型实验</w:t>
            </w:r>
          </w:p>
        </w:tc>
        <w:tc>
          <w:tcPr>
            <w:tcW w:w="976"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创新型实验</w:t>
            </w:r>
          </w:p>
        </w:tc>
        <w:tc>
          <w:tcPr>
            <w:tcW w:w="780" w:type="dxa"/>
            <w:vMerge w:val="continue"/>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634"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姓名</w:t>
            </w:r>
          </w:p>
        </w:tc>
        <w:tc>
          <w:tcPr>
            <w:tcW w:w="634"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职称</w:t>
            </w:r>
          </w:p>
        </w:tc>
        <w:tc>
          <w:tcPr>
            <w:tcW w:w="639"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学历</w:t>
            </w:r>
          </w:p>
        </w:tc>
        <w:tc>
          <w:tcPr>
            <w:tcW w:w="927" w:type="dxa"/>
            <w:vMerge w:val="continue"/>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780" w:type="dxa"/>
            <w:vMerge w:val="continue"/>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28" w:type="dxa"/>
            <w:vMerge w:val="continue"/>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28" w:type="dxa"/>
            <w:vMerge w:val="continue"/>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22" w:hRule="atLeast"/>
        </w:trPr>
        <w:tc>
          <w:tcPr>
            <w:tcW w:w="1022" w:type="dxa"/>
            <w:vMerge w:val="restart"/>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会计学基础</w:t>
            </w:r>
          </w:p>
        </w:tc>
        <w:tc>
          <w:tcPr>
            <w:tcW w:w="1950" w:type="dxa"/>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讲授法：多媒体教学</w:t>
            </w:r>
          </w:p>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讨论式教学：分组讨论</w:t>
            </w:r>
          </w:p>
        </w:tc>
        <w:tc>
          <w:tcPr>
            <w:tcW w:w="1105" w:type="dxa"/>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3</w:t>
            </w:r>
            <w:r>
              <w:rPr>
                <w:rFonts w:ascii="Times New Roman" w:hAnsi="Times New Roman" w:eastAsia="仿宋"/>
                <w:snapToGrid w:val="0"/>
                <w:color w:val="000000"/>
                <w:sz w:val="24"/>
                <w:szCs w:val="24"/>
              </w:rPr>
              <w:t>2</w:t>
            </w:r>
          </w:p>
        </w:tc>
        <w:tc>
          <w:tcPr>
            <w:tcW w:w="851" w:type="dxa"/>
            <w:gridSpan w:val="2"/>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r>
              <w:rPr>
                <w:rFonts w:ascii="Times New Roman" w:hAnsi="Times New Roman" w:eastAsia="仿宋"/>
                <w:snapToGrid w:val="0"/>
                <w:color w:val="000000"/>
                <w:sz w:val="24"/>
                <w:szCs w:val="24"/>
              </w:rPr>
              <w:t>6</w:t>
            </w:r>
          </w:p>
        </w:tc>
        <w:tc>
          <w:tcPr>
            <w:tcW w:w="992" w:type="dxa"/>
            <w:gridSpan w:val="2"/>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92" w:type="dxa"/>
            <w:gridSpan w:val="2"/>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93" w:type="dxa"/>
            <w:gridSpan w:val="3"/>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76"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78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48</w:t>
            </w:r>
          </w:p>
        </w:tc>
        <w:tc>
          <w:tcPr>
            <w:tcW w:w="634"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李文兰</w:t>
            </w:r>
          </w:p>
        </w:tc>
        <w:tc>
          <w:tcPr>
            <w:tcW w:w="634"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高级实验师</w:t>
            </w:r>
          </w:p>
        </w:tc>
        <w:tc>
          <w:tcPr>
            <w:tcW w:w="639"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本科</w:t>
            </w:r>
          </w:p>
        </w:tc>
        <w:tc>
          <w:tcPr>
            <w:tcW w:w="927"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考试</w:t>
            </w:r>
          </w:p>
        </w:tc>
        <w:tc>
          <w:tcPr>
            <w:tcW w:w="78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99%</w:t>
            </w:r>
          </w:p>
        </w:tc>
        <w:tc>
          <w:tcPr>
            <w:tcW w:w="928"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一</w:t>
            </w:r>
          </w:p>
        </w:tc>
        <w:tc>
          <w:tcPr>
            <w:tcW w:w="928"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学科基础课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022" w:type="dxa"/>
            <w:vMerge w:val="continue"/>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195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课程主要内容</w:t>
            </w:r>
          </w:p>
        </w:tc>
        <w:tc>
          <w:tcPr>
            <w:tcW w:w="12159" w:type="dxa"/>
            <w:gridSpan w:val="19"/>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会计学基础是财务管理专业的学科基础课，主要阐述了会计核算的基本理论和基本方法,内容包括会计核算的基本前提、会计原则、会计要素、复式记账原理及方法、企业主要经济业务及其核算原理、账户及其分类、会计凭证、会计账簿、财产清查、会计核算形式、会计报表及其编制原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022" w:type="dxa"/>
            <w:vMerge w:val="continue"/>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195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选用教材</w:t>
            </w:r>
          </w:p>
        </w:tc>
        <w:tc>
          <w:tcPr>
            <w:tcW w:w="12159" w:type="dxa"/>
            <w:gridSpan w:val="19"/>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《会计学原理》杨怀宏，焦争昌编著，中国财政经济出版社，2014年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022" w:type="dxa"/>
            <w:vMerge w:val="restart"/>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西方经济学</w:t>
            </w:r>
          </w:p>
        </w:tc>
        <w:tc>
          <w:tcPr>
            <w:tcW w:w="1950" w:type="dxa"/>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课题讲授、讨论法、多媒体网络技术</w:t>
            </w:r>
          </w:p>
        </w:tc>
        <w:tc>
          <w:tcPr>
            <w:tcW w:w="1105" w:type="dxa"/>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40</w:t>
            </w:r>
          </w:p>
        </w:tc>
        <w:tc>
          <w:tcPr>
            <w:tcW w:w="851" w:type="dxa"/>
            <w:gridSpan w:val="2"/>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8</w:t>
            </w:r>
          </w:p>
        </w:tc>
        <w:tc>
          <w:tcPr>
            <w:tcW w:w="992" w:type="dxa"/>
            <w:gridSpan w:val="2"/>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92" w:type="dxa"/>
            <w:gridSpan w:val="2"/>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45" w:type="dxa"/>
            <w:gridSpan w:val="2"/>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1024" w:type="dxa"/>
            <w:gridSpan w:val="2"/>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78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48</w:t>
            </w:r>
          </w:p>
        </w:tc>
        <w:tc>
          <w:tcPr>
            <w:tcW w:w="634"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刘忠萍</w:t>
            </w:r>
          </w:p>
        </w:tc>
        <w:tc>
          <w:tcPr>
            <w:tcW w:w="634"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讲师</w:t>
            </w:r>
          </w:p>
        </w:tc>
        <w:tc>
          <w:tcPr>
            <w:tcW w:w="639"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研究生</w:t>
            </w:r>
          </w:p>
        </w:tc>
        <w:tc>
          <w:tcPr>
            <w:tcW w:w="927"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考试</w:t>
            </w:r>
          </w:p>
        </w:tc>
        <w:tc>
          <w:tcPr>
            <w:tcW w:w="78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99%</w:t>
            </w:r>
          </w:p>
        </w:tc>
        <w:tc>
          <w:tcPr>
            <w:tcW w:w="928"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一</w:t>
            </w:r>
          </w:p>
        </w:tc>
        <w:tc>
          <w:tcPr>
            <w:tcW w:w="928"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学科基础课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trPr>
        <w:tc>
          <w:tcPr>
            <w:tcW w:w="1022" w:type="dxa"/>
            <w:vMerge w:val="continue"/>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195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课程主要内容</w:t>
            </w:r>
          </w:p>
        </w:tc>
        <w:tc>
          <w:tcPr>
            <w:tcW w:w="12159" w:type="dxa"/>
            <w:gridSpan w:val="19"/>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西方经济学研究的是一个社会如何利用稀缺资源生产财富并在社会成员之间进行分配的学问。它包括微观经济与宏观经济两个部分。微观经济部分以价格理论为核心，主要研究企业、家庭和单个市场等微观供求行为与价格之间的关系；宏观经济部分以收入理论为中心，主要研究一个国家整体经济的运行，以及政府如何运用经济政策来影响经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022" w:type="dxa"/>
            <w:vMerge w:val="continue"/>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195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选用教材</w:t>
            </w:r>
          </w:p>
        </w:tc>
        <w:tc>
          <w:tcPr>
            <w:tcW w:w="12159" w:type="dxa"/>
            <w:gridSpan w:val="19"/>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《西方经济学（第二版）》袁志刚编著，高等教育出版社，2015年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022" w:type="dxa"/>
            <w:vMerge w:val="restart"/>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管理学原理</w:t>
            </w:r>
          </w:p>
        </w:tc>
        <w:tc>
          <w:tcPr>
            <w:tcW w:w="1950" w:type="dxa"/>
            <w:vAlign w:val="center"/>
          </w:tcPr>
          <w:p>
            <w:pPr>
              <w:spacing w:line="300" w:lineRule="exact"/>
              <w:jc w:val="both"/>
              <w:rPr>
                <w:rFonts w:ascii="Times New Roman" w:hAnsi="Times New Roman" w:eastAsia="仿宋"/>
                <w:snapToGrid w:val="0"/>
                <w:color w:val="000000"/>
                <w:sz w:val="24"/>
                <w:szCs w:val="24"/>
                <w:highlight w:val="yellow"/>
              </w:rPr>
            </w:pPr>
            <w:r>
              <w:rPr>
                <w:rFonts w:hint="eastAsia" w:ascii="Times New Roman" w:hAnsi="Times New Roman" w:eastAsia="仿宋"/>
                <w:snapToGrid w:val="0"/>
                <w:color w:val="000000"/>
                <w:sz w:val="24"/>
                <w:szCs w:val="24"/>
              </w:rPr>
              <w:t>PPT、案例分析法、讨论法、练习法</w:t>
            </w:r>
          </w:p>
        </w:tc>
        <w:tc>
          <w:tcPr>
            <w:tcW w:w="1105" w:type="dxa"/>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48</w:t>
            </w:r>
          </w:p>
        </w:tc>
        <w:tc>
          <w:tcPr>
            <w:tcW w:w="851" w:type="dxa"/>
            <w:gridSpan w:val="2"/>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92" w:type="dxa"/>
            <w:gridSpan w:val="2"/>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92" w:type="dxa"/>
            <w:gridSpan w:val="2"/>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45" w:type="dxa"/>
            <w:gridSpan w:val="2"/>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1024" w:type="dxa"/>
            <w:gridSpan w:val="2"/>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78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48</w:t>
            </w:r>
          </w:p>
        </w:tc>
        <w:tc>
          <w:tcPr>
            <w:tcW w:w="634"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王珍珍</w:t>
            </w:r>
          </w:p>
        </w:tc>
        <w:tc>
          <w:tcPr>
            <w:tcW w:w="634"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讲师</w:t>
            </w:r>
          </w:p>
        </w:tc>
        <w:tc>
          <w:tcPr>
            <w:tcW w:w="639"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研究生</w:t>
            </w:r>
          </w:p>
        </w:tc>
        <w:tc>
          <w:tcPr>
            <w:tcW w:w="927"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考试</w:t>
            </w:r>
          </w:p>
        </w:tc>
        <w:tc>
          <w:tcPr>
            <w:tcW w:w="78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28"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一</w:t>
            </w:r>
          </w:p>
        </w:tc>
        <w:tc>
          <w:tcPr>
            <w:tcW w:w="928"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学科基础课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022" w:type="dxa"/>
            <w:vMerge w:val="continue"/>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195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课程主要内容</w:t>
            </w:r>
          </w:p>
        </w:tc>
        <w:tc>
          <w:tcPr>
            <w:tcW w:w="12159" w:type="dxa"/>
            <w:gridSpan w:val="19"/>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管理学原理》是经济管理类专业的学课基础课，课程重在介绍管理的基本原理和方法，是管理学科体系的基础，为管理类各分支学科和课程提供基本的理论和方法指导。本门课程的主要内容包括管理、管理者、管理工作、管理思想等理论知识，计划、组织、领导、控制和创新五大管理职能，以及计划与决策能力、组织与人事能力、领导与沟通能力、控制与评价能力等四大基本管理能力方面的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022" w:type="dxa"/>
            <w:vMerge w:val="continue"/>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195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选用教材</w:t>
            </w:r>
          </w:p>
        </w:tc>
        <w:tc>
          <w:tcPr>
            <w:tcW w:w="12159" w:type="dxa"/>
            <w:gridSpan w:val="19"/>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《管理学（第四版）》周三多编著，高等教育出版社，2016年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022" w:type="dxa"/>
            <w:vMerge w:val="restart"/>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会计电算化</w:t>
            </w:r>
          </w:p>
        </w:tc>
        <w:tc>
          <w:tcPr>
            <w:tcW w:w="1950" w:type="dxa"/>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案例教学法、启发式教学法，演示操作法</w:t>
            </w:r>
          </w:p>
        </w:tc>
        <w:tc>
          <w:tcPr>
            <w:tcW w:w="1105" w:type="dxa"/>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20</w:t>
            </w:r>
          </w:p>
        </w:tc>
        <w:tc>
          <w:tcPr>
            <w:tcW w:w="851" w:type="dxa"/>
            <w:gridSpan w:val="2"/>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28</w:t>
            </w:r>
          </w:p>
        </w:tc>
        <w:tc>
          <w:tcPr>
            <w:tcW w:w="992" w:type="dxa"/>
            <w:gridSpan w:val="2"/>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48</w:t>
            </w:r>
          </w:p>
        </w:tc>
        <w:tc>
          <w:tcPr>
            <w:tcW w:w="992" w:type="dxa"/>
            <w:gridSpan w:val="2"/>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45" w:type="dxa"/>
            <w:gridSpan w:val="2"/>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1024" w:type="dxa"/>
            <w:gridSpan w:val="2"/>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78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48</w:t>
            </w:r>
          </w:p>
        </w:tc>
        <w:tc>
          <w:tcPr>
            <w:tcW w:w="634"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卢启金</w:t>
            </w:r>
          </w:p>
        </w:tc>
        <w:tc>
          <w:tcPr>
            <w:tcW w:w="634"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高级讲师</w:t>
            </w:r>
          </w:p>
        </w:tc>
        <w:tc>
          <w:tcPr>
            <w:tcW w:w="639"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本科</w:t>
            </w:r>
          </w:p>
        </w:tc>
        <w:tc>
          <w:tcPr>
            <w:tcW w:w="927"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考查</w:t>
            </w:r>
          </w:p>
        </w:tc>
        <w:tc>
          <w:tcPr>
            <w:tcW w:w="78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28" w:type="dxa"/>
            <w:vAlign w:val="center"/>
          </w:tcPr>
          <w:p>
            <w:pPr>
              <w:widowControl w:val="0"/>
              <w:adjustRightInd/>
              <w:snapToGrid/>
              <w:spacing w:after="0" w:line="300" w:lineRule="exact"/>
              <w:ind w:firstLine="240" w:firstLineChars="100"/>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二</w:t>
            </w:r>
          </w:p>
        </w:tc>
        <w:tc>
          <w:tcPr>
            <w:tcW w:w="928"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学科基础课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022" w:type="dxa"/>
            <w:vMerge w:val="continue"/>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195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课程主要内容</w:t>
            </w:r>
          </w:p>
        </w:tc>
        <w:tc>
          <w:tcPr>
            <w:tcW w:w="12159" w:type="dxa"/>
            <w:gridSpan w:val="19"/>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本课程以传授会计电算化必备的理论知识和基本操作技能为主要目的，要求学生掌握会计电算化的基本概念和基础知识，理解实现会计电算化的意义、步骤和方法。课程主要内容包括：介绍会计电算化理论知识；介绍系统管理与基础设置账务处理系统，应收应付系统，会计报表系统，薪资管理系统，固定资产管理系统及实务模拟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022" w:type="dxa"/>
            <w:vMerge w:val="continue"/>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195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选用教材</w:t>
            </w:r>
          </w:p>
        </w:tc>
        <w:tc>
          <w:tcPr>
            <w:tcW w:w="12159" w:type="dxa"/>
            <w:gridSpan w:val="19"/>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《会计信息化实务教程》（用友ERP-U8V10.1版财务链篇）》赵汉伟 、周洁编著，上海交通大学出版社，2016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022" w:type="dxa"/>
            <w:vMerge w:val="restart"/>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中级财务会计（上）</w:t>
            </w:r>
          </w:p>
        </w:tc>
        <w:tc>
          <w:tcPr>
            <w:tcW w:w="1950" w:type="dxa"/>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讲授法：多媒体教学</w:t>
            </w:r>
          </w:p>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讨论式教学：分组讨论</w:t>
            </w:r>
          </w:p>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第二课堂教学：运用网络建立班课教学</w:t>
            </w:r>
          </w:p>
        </w:tc>
        <w:tc>
          <w:tcPr>
            <w:tcW w:w="1105" w:type="dxa"/>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3</w:t>
            </w:r>
            <w:r>
              <w:rPr>
                <w:rFonts w:ascii="Times New Roman" w:hAnsi="Times New Roman" w:eastAsia="仿宋"/>
                <w:snapToGrid w:val="0"/>
                <w:color w:val="000000"/>
                <w:sz w:val="24"/>
                <w:szCs w:val="24"/>
              </w:rPr>
              <w:t>2</w:t>
            </w:r>
          </w:p>
        </w:tc>
        <w:tc>
          <w:tcPr>
            <w:tcW w:w="851" w:type="dxa"/>
            <w:gridSpan w:val="2"/>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r>
              <w:rPr>
                <w:rFonts w:ascii="Times New Roman" w:hAnsi="Times New Roman" w:eastAsia="仿宋"/>
                <w:snapToGrid w:val="0"/>
                <w:color w:val="000000"/>
                <w:sz w:val="24"/>
                <w:szCs w:val="24"/>
              </w:rPr>
              <w:t>6</w:t>
            </w:r>
          </w:p>
        </w:tc>
        <w:tc>
          <w:tcPr>
            <w:tcW w:w="992" w:type="dxa"/>
            <w:gridSpan w:val="2"/>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92" w:type="dxa"/>
            <w:gridSpan w:val="2"/>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93" w:type="dxa"/>
            <w:gridSpan w:val="3"/>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76"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78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48</w:t>
            </w:r>
          </w:p>
        </w:tc>
        <w:tc>
          <w:tcPr>
            <w:tcW w:w="634"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黄闵</w:t>
            </w:r>
          </w:p>
        </w:tc>
        <w:tc>
          <w:tcPr>
            <w:tcW w:w="634"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未定职</w:t>
            </w:r>
          </w:p>
        </w:tc>
        <w:tc>
          <w:tcPr>
            <w:tcW w:w="639"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研究生</w:t>
            </w:r>
          </w:p>
        </w:tc>
        <w:tc>
          <w:tcPr>
            <w:tcW w:w="927"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考试</w:t>
            </w:r>
          </w:p>
        </w:tc>
        <w:tc>
          <w:tcPr>
            <w:tcW w:w="78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95%</w:t>
            </w:r>
          </w:p>
        </w:tc>
        <w:tc>
          <w:tcPr>
            <w:tcW w:w="928"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二</w:t>
            </w:r>
          </w:p>
        </w:tc>
        <w:tc>
          <w:tcPr>
            <w:tcW w:w="928"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专业必修课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022" w:type="dxa"/>
            <w:vMerge w:val="continue"/>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195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课程主要内容</w:t>
            </w:r>
          </w:p>
        </w:tc>
        <w:tc>
          <w:tcPr>
            <w:tcW w:w="12159" w:type="dxa"/>
            <w:gridSpan w:val="19"/>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中级财务会计是财务管理专业的专业必修课，主要研究财务会计信息的对外报告。本课程全面介绍了财务会计的基本理论体系构成；核心部分是财务会计要素确认、计量、记录及报告的规则、程序和方法。《中级财务会计（上）》主要研究资产要素，涉及货币资金、存货、金融资产、长期股权投、固定资产、无形资产、投资性房地产的核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022" w:type="dxa"/>
            <w:vMerge w:val="continue"/>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195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选用教材</w:t>
            </w:r>
          </w:p>
        </w:tc>
        <w:tc>
          <w:tcPr>
            <w:tcW w:w="12159" w:type="dxa"/>
            <w:gridSpan w:val="19"/>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《中级财务会计》中华会计网校编著，高等教育出版社，2017年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42" w:hRule="atLeast"/>
        </w:trPr>
        <w:tc>
          <w:tcPr>
            <w:tcW w:w="1022" w:type="dxa"/>
            <w:vMerge w:val="restart"/>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中级财务会计（下）</w:t>
            </w:r>
          </w:p>
        </w:tc>
        <w:tc>
          <w:tcPr>
            <w:tcW w:w="1950" w:type="dxa"/>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讲授法：多媒体教学</w:t>
            </w:r>
          </w:p>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讨论式教学：分组讨论</w:t>
            </w:r>
          </w:p>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第二课堂教学：运用网络建立班课教学</w:t>
            </w:r>
          </w:p>
        </w:tc>
        <w:tc>
          <w:tcPr>
            <w:tcW w:w="1105" w:type="dxa"/>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3</w:t>
            </w:r>
            <w:r>
              <w:rPr>
                <w:rFonts w:ascii="Times New Roman" w:hAnsi="Times New Roman" w:eastAsia="仿宋"/>
                <w:snapToGrid w:val="0"/>
                <w:color w:val="000000"/>
                <w:sz w:val="24"/>
                <w:szCs w:val="24"/>
              </w:rPr>
              <w:t>2</w:t>
            </w:r>
          </w:p>
        </w:tc>
        <w:tc>
          <w:tcPr>
            <w:tcW w:w="851" w:type="dxa"/>
            <w:gridSpan w:val="2"/>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r>
              <w:rPr>
                <w:rFonts w:ascii="Times New Roman" w:hAnsi="Times New Roman" w:eastAsia="仿宋"/>
                <w:snapToGrid w:val="0"/>
                <w:color w:val="000000"/>
                <w:sz w:val="24"/>
                <w:szCs w:val="24"/>
              </w:rPr>
              <w:t>6</w:t>
            </w:r>
          </w:p>
        </w:tc>
        <w:tc>
          <w:tcPr>
            <w:tcW w:w="992" w:type="dxa"/>
            <w:gridSpan w:val="2"/>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92" w:type="dxa"/>
            <w:gridSpan w:val="2"/>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93" w:type="dxa"/>
            <w:gridSpan w:val="3"/>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76"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78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48</w:t>
            </w:r>
          </w:p>
        </w:tc>
        <w:tc>
          <w:tcPr>
            <w:tcW w:w="634"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黄闵</w:t>
            </w:r>
          </w:p>
        </w:tc>
        <w:tc>
          <w:tcPr>
            <w:tcW w:w="634"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未定职</w:t>
            </w:r>
          </w:p>
        </w:tc>
        <w:tc>
          <w:tcPr>
            <w:tcW w:w="639"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研究生</w:t>
            </w:r>
          </w:p>
        </w:tc>
        <w:tc>
          <w:tcPr>
            <w:tcW w:w="927"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考试</w:t>
            </w:r>
          </w:p>
        </w:tc>
        <w:tc>
          <w:tcPr>
            <w:tcW w:w="78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95%</w:t>
            </w:r>
          </w:p>
        </w:tc>
        <w:tc>
          <w:tcPr>
            <w:tcW w:w="928"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二</w:t>
            </w:r>
          </w:p>
        </w:tc>
        <w:tc>
          <w:tcPr>
            <w:tcW w:w="928"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专业必修课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022" w:type="dxa"/>
            <w:vMerge w:val="continue"/>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195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课程主要内容</w:t>
            </w:r>
          </w:p>
        </w:tc>
        <w:tc>
          <w:tcPr>
            <w:tcW w:w="12159" w:type="dxa"/>
            <w:gridSpan w:val="19"/>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中级财务会计是财务管理专业的专业必修课，主要研究财务会计信息的对外报告。本课程全面介绍了财务会计的基本理论体系构成；核心部分是财务会计要素确认、计量、记录及报告的规则、程序和方法。《中级财务会计（下）》主要研究负债、所有者权益、收入和费用要素的核算及其账务处理，期末财务报表的填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022" w:type="dxa"/>
            <w:vMerge w:val="continue"/>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195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选用教材</w:t>
            </w:r>
          </w:p>
        </w:tc>
        <w:tc>
          <w:tcPr>
            <w:tcW w:w="12159" w:type="dxa"/>
            <w:gridSpan w:val="19"/>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《中级财务会计》中华会计网校编著，高等教育出版社，2017年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022" w:type="dxa"/>
            <w:vMerge w:val="restart"/>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审计学</w:t>
            </w:r>
          </w:p>
        </w:tc>
        <w:tc>
          <w:tcPr>
            <w:tcW w:w="1950" w:type="dxa"/>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采用讲授为主，讨论、作业、调研、策划实践相结合的教学手段</w:t>
            </w:r>
          </w:p>
        </w:tc>
        <w:tc>
          <w:tcPr>
            <w:tcW w:w="1105" w:type="dxa"/>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48</w:t>
            </w:r>
          </w:p>
        </w:tc>
        <w:tc>
          <w:tcPr>
            <w:tcW w:w="851" w:type="dxa"/>
            <w:gridSpan w:val="2"/>
            <w:vAlign w:val="center"/>
          </w:tcPr>
          <w:p>
            <w:pPr>
              <w:spacing w:line="300" w:lineRule="exact"/>
              <w:jc w:val="both"/>
              <w:rPr>
                <w:rFonts w:ascii="Times New Roman" w:hAnsi="Times New Roman" w:eastAsia="仿宋"/>
                <w:snapToGrid w:val="0"/>
                <w:color w:val="000000"/>
                <w:sz w:val="24"/>
                <w:szCs w:val="24"/>
              </w:rPr>
            </w:pPr>
          </w:p>
        </w:tc>
        <w:tc>
          <w:tcPr>
            <w:tcW w:w="992" w:type="dxa"/>
            <w:gridSpan w:val="2"/>
            <w:vAlign w:val="center"/>
          </w:tcPr>
          <w:p>
            <w:pPr>
              <w:spacing w:line="300" w:lineRule="exact"/>
              <w:jc w:val="both"/>
              <w:rPr>
                <w:rFonts w:ascii="Times New Roman" w:hAnsi="Times New Roman" w:eastAsia="仿宋"/>
                <w:snapToGrid w:val="0"/>
                <w:color w:val="000000"/>
                <w:sz w:val="24"/>
                <w:szCs w:val="24"/>
              </w:rPr>
            </w:pPr>
          </w:p>
        </w:tc>
        <w:tc>
          <w:tcPr>
            <w:tcW w:w="992" w:type="dxa"/>
            <w:gridSpan w:val="2"/>
            <w:vAlign w:val="center"/>
          </w:tcPr>
          <w:p>
            <w:pPr>
              <w:spacing w:line="300" w:lineRule="exact"/>
              <w:jc w:val="both"/>
              <w:rPr>
                <w:rFonts w:ascii="Times New Roman" w:hAnsi="Times New Roman" w:eastAsia="仿宋"/>
                <w:snapToGrid w:val="0"/>
                <w:color w:val="000000"/>
                <w:sz w:val="24"/>
                <w:szCs w:val="24"/>
              </w:rPr>
            </w:pPr>
          </w:p>
        </w:tc>
        <w:tc>
          <w:tcPr>
            <w:tcW w:w="993" w:type="dxa"/>
            <w:gridSpan w:val="3"/>
            <w:vAlign w:val="center"/>
          </w:tcPr>
          <w:p>
            <w:pPr>
              <w:spacing w:line="300" w:lineRule="exact"/>
              <w:jc w:val="both"/>
              <w:rPr>
                <w:rFonts w:ascii="Times New Roman" w:hAnsi="Times New Roman" w:eastAsia="仿宋"/>
                <w:snapToGrid w:val="0"/>
                <w:color w:val="000000"/>
                <w:sz w:val="24"/>
                <w:szCs w:val="24"/>
              </w:rPr>
            </w:pPr>
          </w:p>
        </w:tc>
        <w:tc>
          <w:tcPr>
            <w:tcW w:w="976" w:type="dxa"/>
            <w:vAlign w:val="center"/>
          </w:tcPr>
          <w:p>
            <w:pPr>
              <w:spacing w:line="300" w:lineRule="exact"/>
              <w:jc w:val="both"/>
              <w:rPr>
                <w:rFonts w:ascii="Times New Roman" w:hAnsi="Times New Roman" w:eastAsia="仿宋"/>
                <w:snapToGrid w:val="0"/>
                <w:color w:val="000000"/>
                <w:sz w:val="24"/>
                <w:szCs w:val="24"/>
              </w:rPr>
            </w:pPr>
          </w:p>
        </w:tc>
        <w:tc>
          <w:tcPr>
            <w:tcW w:w="780" w:type="dxa"/>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48</w:t>
            </w:r>
          </w:p>
        </w:tc>
        <w:tc>
          <w:tcPr>
            <w:tcW w:w="634" w:type="dxa"/>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黄锡富</w:t>
            </w:r>
          </w:p>
        </w:tc>
        <w:tc>
          <w:tcPr>
            <w:tcW w:w="634" w:type="dxa"/>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教授</w:t>
            </w:r>
          </w:p>
        </w:tc>
        <w:tc>
          <w:tcPr>
            <w:tcW w:w="639" w:type="dxa"/>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研究生</w:t>
            </w:r>
          </w:p>
        </w:tc>
        <w:tc>
          <w:tcPr>
            <w:tcW w:w="927" w:type="dxa"/>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开始</w:t>
            </w:r>
          </w:p>
        </w:tc>
        <w:tc>
          <w:tcPr>
            <w:tcW w:w="780" w:type="dxa"/>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100%</w:t>
            </w:r>
          </w:p>
        </w:tc>
        <w:tc>
          <w:tcPr>
            <w:tcW w:w="928" w:type="dxa"/>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六</w:t>
            </w:r>
          </w:p>
        </w:tc>
        <w:tc>
          <w:tcPr>
            <w:tcW w:w="928" w:type="dxa"/>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专业必修课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022" w:type="dxa"/>
            <w:vMerge w:val="continue"/>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1950" w:type="dxa"/>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课程主要内容</w:t>
            </w:r>
          </w:p>
        </w:tc>
        <w:tc>
          <w:tcPr>
            <w:tcW w:w="12159" w:type="dxa"/>
            <w:gridSpan w:val="19"/>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审计学主要是讲授审计的基本理论，工作程序和基本方法，其内容包括审计理论和审计实务。审计理论包括审计概述、注册会计师执业准则与法律责任、审计目标及计划与方法、重要性与审计风险、审计证据与审计工作底稿、审计抽样、风险评估与风险应对。审计实务包括销售与收款循环审计、采购与付款循环审计、存货与仓储循环审计、筹资与投资循环审计、货币资金审计、终结审计前的审计工作、审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022" w:type="dxa"/>
            <w:vMerge w:val="continue"/>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195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选用教材</w:t>
            </w:r>
          </w:p>
        </w:tc>
        <w:tc>
          <w:tcPr>
            <w:tcW w:w="12159" w:type="dxa"/>
            <w:gridSpan w:val="19"/>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《审计学》万义平，曾维林编著，上海交通大学出版社，2017年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022" w:type="dxa"/>
            <w:vMerge w:val="restart"/>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成本会计</w:t>
            </w:r>
          </w:p>
        </w:tc>
        <w:tc>
          <w:tcPr>
            <w:tcW w:w="1950" w:type="dxa"/>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案例教学法、比较分析法、讲授法</w:t>
            </w:r>
          </w:p>
        </w:tc>
        <w:tc>
          <w:tcPr>
            <w:tcW w:w="1105" w:type="dxa"/>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32</w:t>
            </w:r>
          </w:p>
        </w:tc>
        <w:tc>
          <w:tcPr>
            <w:tcW w:w="851" w:type="dxa"/>
            <w:gridSpan w:val="2"/>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16</w:t>
            </w:r>
          </w:p>
        </w:tc>
        <w:tc>
          <w:tcPr>
            <w:tcW w:w="992" w:type="dxa"/>
            <w:gridSpan w:val="2"/>
            <w:vAlign w:val="center"/>
          </w:tcPr>
          <w:p>
            <w:pPr>
              <w:spacing w:line="300" w:lineRule="exact"/>
              <w:jc w:val="both"/>
              <w:rPr>
                <w:rFonts w:ascii="Times New Roman" w:hAnsi="Times New Roman" w:eastAsia="仿宋"/>
                <w:snapToGrid w:val="0"/>
                <w:color w:val="000000"/>
                <w:sz w:val="24"/>
                <w:szCs w:val="24"/>
              </w:rPr>
            </w:pPr>
          </w:p>
        </w:tc>
        <w:tc>
          <w:tcPr>
            <w:tcW w:w="992" w:type="dxa"/>
            <w:gridSpan w:val="2"/>
            <w:vAlign w:val="center"/>
          </w:tcPr>
          <w:p>
            <w:pPr>
              <w:spacing w:line="300" w:lineRule="exact"/>
              <w:jc w:val="both"/>
              <w:rPr>
                <w:rFonts w:ascii="Times New Roman" w:hAnsi="Times New Roman" w:eastAsia="仿宋"/>
                <w:snapToGrid w:val="0"/>
                <w:color w:val="000000"/>
                <w:sz w:val="24"/>
                <w:szCs w:val="24"/>
              </w:rPr>
            </w:pPr>
          </w:p>
        </w:tc>
        <w:tc>
          <w:tcPr>
            <w:tcW w:w="993" w:type="dxa"/>
            <w:gridSpan w:val="3"/>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16</w:t>
            </w:r>
          </w:p>
        </w:tc>
        <w:tc>
          <w:tcPr>
            <w:tcW w:w="976"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78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48</w:t>
            </w:r>
          </w:p>
        </w:tc>
        <w:tc>
          <w:tcPr>
            <w:tcW w:w="634"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卢启金</w:t>
            </w:r>
          </w:p>
        </w:tc>
        <w:tc>
          <w:tcPr>
            <w:tcW w:w="634"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高级讲师</w:t>
            </w:r>
          </w:p>
        </w:tc>
        <w:tc>
          <w:tcPr>
            <w:tcW w:w="639"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本科</w:t>
            </w:r>
          </w:p>
        </w:tc>
        <w:tc>
          <w:tcPr>
            <w:tcW w:w="927"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考试</w:t>
            </w:r>
          </w:p>
        </w:tc>
        <w:tc>
          <w:tcPr>
            <w:tcW w:w="78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28"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四</w:t>
            </w:r>
          </w:p>
        </w:tc>
        <w:tc>
          <w:tcPr>
            <w:tcW w:w="928"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学科基础课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022" w:type="dxa"/>
            <w:vMerge w:val="continue"/>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195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课程主要内容</w:t>
            </w:r>
          </w:p>
        </w:tc>
        <w:tc>
          <w:tcPr>
            <w:tcW w:w="12159" w:type="dxa"/>
            <w:gridSpan w:val="19"/>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本教材的内容可以概括为六大部分：第一部分作为成本会计学科的总论，主要阐述了现代成本会计的一些基本概念和基本理论；第二部分作为企业产品成本核算的绪论，主要总括阐明产品成本核算的基本要求、基本程序、账户设置和典型业务的账务处理；第三部分主要介绍构成产品成本的具体要素费用和综合要素费用的核算；第四部分主要介绍构成产品成本生产费用的纵向核算；第五部分主要介绍产品成本核算的基本方法和辅助方法；第六部分主要介绍成本报表的编制与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022" w:type="dxa"/>
            <w:vMerge w:val="continue"/>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195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选用教材</w:t>
            </w:r>
          </w:p>
        </w:tc>
        <w:tc>
          <w:tcPr>
            <w:tcW w:w="12159" w:type="dxa"/>
            <w:gridSpan w:val="19"/>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《成本会计》王冰编著，同济大学出版社，2017年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022" w:type="dxa"/>
            <w:vMerge w:val="restart"/>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管理会计</w:t>
            </w:r>
          </w:p>
        </w:tc>
        <w:tc>
          <w:tcPr>
            <w:tcW w:w="1950" w:type="dxa"/>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讲授法：多媒体教学；讨论法：分组讨论</w:t>
            </w:r>
          </w:p>
        </w:tc>
        <w:tc>
          <w:tcPr>
            <w:tcW w:w="1105" w:type="dxa"/>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32</w:t>
            </w:r>
          </w:p>
        </w:tc>
        <w:tc>
          <w:tcPr>
            <w:tcW w:w="851" w:type="dxa"/>
            <w:gridSpan w:val="2"/>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16</w:t>
            </w:r>
          </w:p>
        </w:tc>
        <w:tc>
          <w:tcPr>
            <w:tcW w:w="992" w:type="dxa"/>
            <w:gridSpan w:val="2"/>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92" w:type="dxa"/>
            <w:gridSpan w:val="2"/>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93" w:type="dxa"/>
            <w:gridSpan w:val="3"/>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76"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78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48</w:t>
            </w:r>
          </w:p>
        </w:tc>
        <w:tc>
          <w:tcPr>
            <w:tcW w:w="634"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郭莎莎</w:t>
            </w:r>
          </w:p>
        </w:tc>
        <w:tc>
          <w:tcPr>
            <w:tcW w:w="634"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未定职</w:t>
            </w:r>
          </w:p>
        </w:tc>
        <w:tc>
          <w:tcPr>
            <w:tcW w:w="639"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研究生</w:t>
            </w:r>
          </w:p>
        </w:tc>
        <w:tc>
          <w:tcPr>
            <w:tcW w:w="927"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考试</w:t>
            </w:r>
          </w:p>
        </w:tc>
        <w:tc>
          <w:tcPr>
            <w:tcW w:w="78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28"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五</w:t>
            </w:r>
          </w:p>
        </w:tc>
        <w:tc>
          <w:tcPr>
            <w:tcW w:w="928"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专业必修课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022" w:type="dxa"/>
            <w:vMerge w:val="continue"/>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195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课程主要内容</w:t>
            </w:r>
          </w:p>
        </w:tc>
        <w:tc>
          <w:tcPr>
            <w:tcW w:w="12159" w:type="dxa"/>
            <w:gridSpan w:val="19"/>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管理会计课程是财务专业的主干专业课，同时也是其他管理相关专业的必修课。课程内容主要包括：管理会计概论、管理会计职业、成本性态分析、本量利分析和变动成本计算方法。本课程的先修课程为会计学原理，修读学生应对财务会计的业务处理和会计报表内容有一些基本的了解。修读完本课程，则可以进一步去学习管理会计的长短期决策应用工具及控制方法的应用工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022" w:type="dxa"/>
            <w:vMerge w:val="continue"/>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195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选用教材</w:t>
            </w:r>
          </w:p>
        </w:tc>
        <w:tc>
          <w:tcPr>
            <w:tcW w:w="12159" w:type="dxa"/>
            <w:gridSpan w:val="19"/>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《管理会计学》白玉芳编著，上海交通大学出版社，2017年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022" w:type="dxa"/>
            <w:vMerge w:val="restart"/>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财务管理</w:t>
            </w:r>
          </w:p>
        </w:tc>
        <w:tc>
          <w:tcPr>
            <w:tcW w:w="1950" w:type="dxa"/>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讲授法：多媒体教学；讨论法：分组讨论</w:t>
            </w:r>
          </w:p>
        </w:tc>
        <w:tc>
          <w:tcPr>
            <w:tcW w:w="1105" w:type="dxa"/>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32</w:t>
            </w:r>
          </w:p>
        </w:tc>
        <w:tc>
          <w:tcPr>
            <w:tcW w:w="851" w:type="dxa"/>
            <w:gridSpan w:val="2"/>
            <w:vAlign w:val="center"/>
          </w:tcPr>
          <w:p>
            <w:pPr>
              <w:spacing w:line="300" w:lineRule="exact"/>
              <w:jc w:val="both"/>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16</w:t>
            </w:r>
          </w:p>
        </w:tc>
        <w:tc>
          <w:tcPr>
            <w:tcW w:w="992" w:type="dxa"/>
            <w:gridSpan w:val="2"/>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92" w:type="dxa"/>
            <w:gridSpan w:val="2"/>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93" w:type="dxa"/>
            <w:gridSpan w:val="3"/>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76"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78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48</w:t>
            </w:r>
          </w:p>
        </w:tc>
        <w:tc>
          <w:tcPr>
            <w:tcW w:w="634"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何有良</w:t>
            </w:r>
          </w:p>
        </w:tc>
        <w:tc>
          <w:tcPr>
            <w:tcW w:w="634"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副教授</w:t>
            </w:r>
          </w:p>
        </w:tc>
        <w:tc>
          <w:tcPr>
            <w:tcW w:w="639"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研究生</w:t>
            </w:r>
          </w:p>
        </w:tc>
        <w:tc>
          <w:tcPr>
            <w:tcW w:w="927"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考试</w:t>
            </w:r>
          </w:p>
        </w:tc>
        <w:tc>
          <w:tcPr>
            <w:tcW w:w="78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28"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五</w:t>
            </w:r>
          </w:p>
        </w:tc>
        <w:tc>
          <w:tcPr>
            <w:tcW w:w="928"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专业必修课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022" w:type="dxa"/>
            <w:vMerge w:val="continue"/>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195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课程主要内容</w:t>
            </w:r>
          </w:p>
        </w:tc>
        <w:tc>
          <w:tcPr>
            <w:tcW w:w="12159" w:type="dxa"/>
            <w:gridSpan w:val="19"/>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财务管理》为财务管理专业的专业必修课，主要讲授财务管理的概念、目标、原则、发展；财务管理环境；财务管理的时间价值观念和风险价值观念；财务管理的基本内容和方法等。通过本课程的学习，使学生能够熟练掌握：掌握财务管理的概念、目标、原理和方法；掌握货币时间价值、风险和报酬、证券估值基本理论和计算方法；掌握财务分析的比率分析法、比较分析法、趋势分析法及财务综合分析法；掌握筹资管理、投资管理、营运资金管理和利润分配管理的理论、原则、方法和基本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022" w:type="dxa"/>
            <w:vMerge w:val="continue"/>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195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选用教材</w:t>
            </w:r>
          </w:p>
        </w:tc>
        <w:tc>
          <w:tcPr>
            <w:tcW w:w="12159" w:type="dxa"/>
            <w:gridSpan w:val="19"/>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《财务管理学（第四版）》郭复初、王庆成编著，高等教育出版社，2014年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022"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w:t>
            </w:r>
          </w:p>
        </w:tc>
        <w:tc>
          <w:tcPr>
            <w:tcW w:w="1950" w:type="dxa"/>
            <w:tcBorders>
              <w:bottom w:val="single" w:color="000000" w:sz="4" w:space="0"/>
            </w:tcBorders>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1105" w:type="dxa"/>
            <w:tcBorders>
              <w:bottom w:val="single" w:color="000000" w:sz="4" w:space="0"/>
            </w:tcBorders>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709"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92" w:type="dxa"/>
            <w:gridSpan w:val="2"/>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709" w:type="dxa"/>
            <w:gridSpan w:val="2"/>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1074" w:type="dxa"/>
            <w:gridSpan w:val="2"/>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1320" w:type="dxa"/>
            <w:gridSpan w:val="3"/>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78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634"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634"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639"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27"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78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28"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28"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6" w:hRule="atLeast"/>
        </w:trPr>
        <w:tc>
          <w:tcPr>
            <w:tcW w:w="1022"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合计</w:t>
            </w:r>
          </w:p>
        </w:tc>
        <w:tc>
          <w:tcPr>
            <w:tcW w:w="1950" w:type="dxa"/>
            <w:tcBorders>
              <w:tl2br w:val="single" w:color="auto" w:sz="4" w:space="0"/>
            </w:tcBorders>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1105" w:type="dxa"/>
            <w:tcBorders>
              <w:tl2br w:val="single" w:color="auto" w:sz="4" w:space="0"/>
            </w:tcBorders>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709"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92" w:type="dxa"/>
            <w:gridSpan w:val="2"/>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709" w:type="dxa"/>
            <w:gridSpan w:val="2"/>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1074" w:type="dxa"/>
            <w:gridSpan w:val="2"/>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1320" w:type="dxa"/>
            <w:gridSpan w:val="3"/>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78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634"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634"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639"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27"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780"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28"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28" w:type="dxa"/>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r>
    </w:tbl>
    <w:p>
      <w:pPr>
        <w:widowControl w:val="0"/>
        <w:adjustRightInd/>
        <w:snapToGrid/>
        <w:spacing w:after="0" w:line="300" w:lineRule="exact"/>
        <w:ind w:left="480" w:hanging="480" w:hangingChars="200"/>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注：本表所填课程包括基础课和各类专业课，公共基础课无需填写。请对照专业教学计划表认真填写。</w:t>
      </w:r>
    </w:p>
    <w:p>
      <w:pPr>
        <w:widowControl w:val="0"/>
        <w:adjustRightInd/>
        <w:snapToGrid/>
        <w:spacing w:after="0" w:line="300" w:lineRule="exact"/>
        <w:ind w:firstLine="405"/>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选用教材的描述格式：名称、作者、出版社、出版时间。</w:t>
      </w:r>
    </w:p>
    <w:p>
      <w:pPr>
        <w:widowControl w:val="0"/>
        <w:adjustRightInd/>
        <w:snapToGrid/>
        <w:spacing w:after="0" w:line="300" w:lineRule="exact"/>
        <w:ind w:firstLine="405"/>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实践学时是指实验学时之外的为本课程安排的实践内容，如课程设计等。</w:t>
      </w:r>
    </w:p>
    <w:p>
      <w:pPr>
        <w:widowControl w:val="0"/>
        <w:adjustRightInd/>
        <w:snapToGrid/>
        <w:spacing w:after="0" w:line="300" w:lineRule="exact"/>
        <w:ind w:left="440" w:leftChars="200"/>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创新型实验指需要学生自己设计实验方案，并具有一定的探索性。例如，开放型实验或研究型实验。</w:t>
      </w:r>
    </w:p>
    <w:p>
      <w:pPr>
        <w:widowControl w:val="0"/>
        <w:adjustRightInd/>
        <w:snapToGrid/>
        <w:spacing w:after="0" w:line="300" w:lineRule="exact"/>
        <w:rPr>
          <w:rFonts w:ascii="Times New Roman" w:hAnsi="Times New Roman" w:eastAsia="仿宋"/>
          <w:snapToGrid w:val="0"/>
          <w:color w:val="000000"/>
          <w:kern w:val="2"/>
          <w:sz w:val="24"/>
          <w:szCs w:val="24"/>
        </w:rPr>
      </w:pPr>
    </w:p>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8"/>
          <w:szCs w:val="28"/>
        </w:rPr>
        <w:t>17. 专业开设以来学生参加创新创业活动及科研项目情况表</w:t>
      </w:r>
    </w:p>
    <w:tbl>
      <w:tblPr>
        <w:tblStyle w:val="6"/>
        <w:tblW w:w="148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7"/>
        <w:gridCol w:w="1363"/>
        <w:gridCol w:w="1513"/>
        <w:gridCol w:w="1577"/>
        <w:gridCol w:w="2525"/>
        <w:gridCol w:w="1728"/>
        <w:gridCol w:w="4429"/>
        <w:gridCol w:w="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3663" w:type="dxa"/>
            <w:gridSpan w:val="3"/>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参加创新创业活动学生人次数</w:t>
            </w:r>
          </w:p>
        </w:tc>
        <w:tc>
          <w:tcPr>
            <w:tcW w:w="4102" w:type="dxa"/>
            <w:gridSpan w:val="2"/>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w:t>
            </w:r>
          </w:p>
        </w:tc>
        <w:tc>
          <w:tcPr>
            <w:tcW w:w="172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参加科研项目学生人次数</w:t>
            </w:r>
          </w:p>
        </w:tc>
        <w:tc>
          <w:tcPr>
            <w:tcW w:w="5405" w:type="dxa"/>
            <w:gridSpan w:val="2"/>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14898" w:type="dxa"/>
            <w:gridSpan w:val="8"/>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代表性项目表（不超过20项）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78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序号</w:t>
            </w:r>
          </w:p>
        </w:tc>
        <w:tc>
          <w:tcPr>
            <w:tcW w:w="136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类型</w:t>
            </w:r>
          </w:p>
        </w:tc>
        <w:tc>
          <w:tcPr>
            <w:tcW w:w="3090" w:type="dxa"/>
            <w:gridSpan w:val="2"/>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活动名称</w:t>
            </w:r>
          </w:p>
        </w:tc>
        <w:tc>
          <w:tcPr>
            <w:tcW w:w="252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项目负责人或指导教师</w:t>
            </w:r>
          </w:p>
        </w:tc>
        <w:tc>
          <w:tcPr>
            <w:tcW w:w="172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活动时间</w:t>
            </w:r>
          </w:p>
        </w:tc>
        <w:tc>
          <w:tcPr>
            <w:tcW w:w="442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参加的学生名单</w:t>
            </w:r>
          </w:p>
        </w:tc>
        <w:tc>
          <w:tcPr>
            <w:tcW w:w="9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787" w:type="dxa"/>
            <w:vAlign w:val="center"/>
          </w:tcPr>
          <w:p>
            <w:pPr>
              <w:widowControl w:val="0"/>
              <w:adjustRightInd/>
              <w:snapToGrid/>
              <w:spacing w:after="0" w:line="300" w:lineRule="exact"/>
              <w:jc w:val="center"/>
              <w:rPr>
                <w:rFonts w:ascii="Times New Roman" w:hAnsi="Times New Roman" w:eastAsia="仿宋"/>
                <w:snapToGrid w:val="0"/>
                <w:color w:val="000000"/>
                <w:kern w:val="2"/>
              </w:rPr>
            </w:pPr>
            <w:r>
              <w:rPr>
                <w:rFonts w:ascii="Times New Roman" w:hAnsi="Times New Roman" w:eastAsia="仿宋"/>
                <w:snapToGrid w:val="0"/>
                <w:color w:val="000000"/>
                <w:kern w:val="2"/>
              </w:rPr>
              <w:t>1</w:t>
            </w:r>
          </w:p>
        </w:tc>
        <w:tc>
          <w:tcPr>
            <w:tcW w:w="1363" w:type="dxa"/>
            <w:vAlign w:val="center"/>
          </w:tcPr>
          <w:p>
            <w:pPr>
              <w:widowControl w:val="0"/>
              <w:adjustRightInd/>
              <w:snapToGrid/>
              <w:spacing w:after="0" w:line="300" w:lineRule="exact"/>
              <w:jc w:val="center"/>
              <w:rPr>
                <w:rFonts w:ascii="宋体" w:hAnsi="宋体" w:cs="宋体"/>
                <w:snapToGrid w:val="0"/>
                <w:color w:val="000000"/>
                <w:kern w:val="2"/>
              </w:rPr>
            </w:pPr>
            <w:r>
              <w:rPr>
                <w:rFonts w:hint="eastAsia" w:ascii="宋体" w:hAnsi="宋体" w:cs="宋体"/>
                <w:snapToGrid w:val="0"/>
                <w:color w:val="000000"/>
                <w:kern w:val="2"/>
              </w:rPr>
              <w:t>创新创业</w:t>
            </w:r>
          </w:p>
        </w:tc>
        <w:tc>
          <w:tcPr>
            <w:tcW w:w="3090" w:type="dxa"/>
            <w:gridSpan w:val="2"/>
            <w:vAlign w:val="center"/>
          </w:tcPr>
          <w:p>
            <w:pPr>
              <w:widowControl w:val="0"/>
              <w:adjustRightInd/>
              <w:snapToGrid/>
              <w:spacing w:after="0" w:line="300" w:lineRule="exact"/>
              <w:jc w:val="center"/>
              <w:rPr>
                <w:rFonts w:ascii="宋体" w:hAnsi="宋体" w:cs="宋体"/>
              </w:rPr>
            </w:pPr>
            <w:r>
              <w:rPr>
                <w:rFonts w:hint="eastAsia" w:ascii="宋体" w:hAnsi="宋体" w:cs="宋体"/>
              </w:rPr>
              <w:t>2018年广西大学生创业项目</w:t>
            </w:r>
          </w:p>
        </w:tc>
        <w:tc>
          <w:tcPr>
            <w:tcW w:w="2525" w:type="dxa"/>
            <w:vAlign w:val="center"/>
          </w:tcPr>
          <w:p>
            <w:pPr>
              <w:widowControl w:val="0"/>
              <w:adjustRightInd/>
              <w:snapToGrid/>
              <w:spacing w:after="0" w:line="300" w:lineRule="exact"/>
              <w:jc w:val="center"/>
              <w:rPr>
                <w:rFonts w:ascii="宋体" w:hAnsi="宋体" w:cs="宋体"/>
                <w:snapToGrid w:val="0"/>
                <w:color w:val="000000"/>
                <w:kern w:val="2"/>
              </w:rPr>
            </w:pPr>
            <w:r>
              <w:rPr>
                <w:rFonts w:hint="eastAsia" w:ascii="宋体" w:hAnsi="宋体" w:cs="宋体"/>
                <w:snapToGrid w:val="0"/>
                <w:color w:val="000000"/>
                <w:kern w:val="2"/>
              </w:rPr>
              <w:t>李丹</w:t>
            </w:r>
          </w:p>
        </w:tc>
        <w:tc>
          <w:tcPr>
            <w:tcW w:w="1728" w:type="dxa"/>
            <w:vAlign w:val="center"/>
          </w:tcPr>
          <w:p>
            <w:pPr>
              <w:widowControl w:val="0"/>
              <w:adjustRightInd/>
              <w:snapToGrid/>
              <w:spacing w:after="0" w:line="300" w:lineRule="exact"/>
              <w:jc w:val="center"/>
              <w:rPr>
                <w:rFonts w:ascii="宋体" w:hAnsi="宋体" w:cs="宋体"/>
              </w:rPr>
            </w:pPr>
            <w:r>
              <w:rPr>
                <w:rFonts w:hint="eastAsia" w:ascii="宋体" w:hAnsi="宋体" w:cs="宋体"/>
              </w:rPr>
              <w:t>2018年</w:t>
            </w:r>
          </w:p>
        </w:tc>
        <w:tc>
          <w:tcPr>
            <w:tcW w:w="4429" w:type="dxa"/>
            <w:vAlign w:val="center"/>
          </w:tcPr>
          <w:p>
            <w:pPr>
              <w:spacing w:after="0"/>
              <w:jc w:val="center"/>
            </w:pPr>
            <w:r>
              <w:rPr>
                <w:rFonts w:hint="eastAsia"/>
              </w:rPr>
              <w:t>李丹、杨舒珺、黄颖怡、庞晴钰、</w:t>
            </w:r>
            <w:r>
              <w:rPr>
                <w:rFonts w:hint="eastAsia" w:ascii="宋体" w:hAnsi="宋体" w:cs="宋体"/>
              </w:rPr>
              <w:t>唐光尚</w:t>
            </w:r>
          </w:p>
        </w:tc>
        <w:tc>
          <w:tcPr>
            <w:tcW w:w="9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已结项</w:t>
            </w:r>
          </w:p>
        </w:tc>
      </w:tr>
    </w:tbl>
    <w:p>
      <w:pPr>
        <w:widowControl w:val="0"/>
        <w:adjustRightInd/>
        <w:snapToGrid/>
        <w:spacing w:after="0" w:line="300" w:lineRule="exact"/>
        <w:ind w:left="480" w:hanging="480" w:hangingChars="200"/>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注：本表所填创新创业活动是指国家、自治区、学院三级大学生创新创业训练计划；学生参与的竞赛项目另行统计，不计算在本表内。</w:t>
      </w:r>
    </w:p>
    <w:p>
      <w:pPr>
        <w:widowControl w:val="0"/>
        <w:adjustRightInd/>
        <w:snapToGrid/>
        <w:spacing w:after="0" w:line="300" w:lineRule="exact"/>
        <w:ind w:left="440" w:leftChars="200"/>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本表所填科研项目指学生作为课题组成员参加的各类国家、省部和市级纵向项目以及正式签订合同的包含技术咨询、技术服务、技术开发的立项项目。</w:t>
      </w:r>
    </w:p>
    <w:p>
      <w:pPr>
        <w:widowControl w:val="0"/>
        <w:adjustRightInd/>
        <w:snapToGrid/>
        <w:spacing w:after="0" w:line="300" w:lineRule="exact"/>
        <w:ind w:firstLine="405"/>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类型：创新创业活动/科研项目。</w:t>
      </w:r>
    </w:p>
    <w:p>
      <w:pPr>
        <w:widowControl w:val="0"/>
        <w:adjustRightInd/>
        <w:snapToGrid/>
        <w:spacing w:after="0" w:line="300" w:lineRule="exact"/>
        <w:ind w:left="440" w:leftChars="200"/>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项目负责人或指导教师：对于类型为创新创业活动的，填写活动的指导教师姓名；对于类型为科研项目的，填写科研项目负责人。</w:t>
      </w:r>
    </w:p>
    <w:p>
      <w:pPr>
        <w:widowControl w:val="0"/>
        <w:adjustRightInd/>
        <w:snapToGrid/>
        <w:spacing w:after="0" w:line="300" w:lineRule="exact"/>
        <w:rPr>
          <w:rFonts w:ascii="Times New Roman" w:hAnsi="Times New Roman" w:eastAsia="仿宋"/>
          <w:snapToGrid w:val="0"/>
          <w:color w:val="000000"/>
          <w:kern w:val="2"/>
          <w:sz w:val="24"/>
          <w:szCs w:val="24"/>
        </w:rPr>
      </w:pP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18. 专业开设以来学生获区级以上各类竞赛奖励情况表</w:t>
      </w:r>
    </w:p>
    <w:tbl>
      <w:tblPr>
        <w:tblStyle w:val="6"/>
        <w:tblW w:w="144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4"/>
        <w:gridCol w:w="3145"/>
        <w:gridCol w:w="2335"/>
        <w:gridCol w:w="2256"/>
        <w:gridCol w:w="2294"/>
        <w:gridCol w:w="2212"/>
        <w:gridCol w:w="1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blHeader/>
        </w:trPr>
        <w:tc>
          <w:tcPr>
            <w:tcW w:w="9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序号</w:t>
            </w:r>
          </w:p>
        </w:tc>
        <w:tc>
          <w:tcPr>
            <w:tcW w:w="31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竞赛名称</w:t>
            </w:r>
          </w:p>
        </w:tc>
        <w:tc>
          <w:tcPr>
            <w:tcW w:w="233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获奖人</w:t>
            </w:r>
          </w:p>
        </w:tc>
        <w:tc>
          <w:tcPr>
            <w:tcW w:w="2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获奖时间</w:t>
            </w:r>
          </w:p>
        </w:tc>
        <w:tc>
          <w:tcPr>
            <w:tcW w:w="229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获奖类别</w:t>
            </w:r>
          </w:p>
        </w:tc>
        <w:tc>
          <w:tcPr>
            <w:tcW w:w="22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获奖等级</w:t>
            </w:r>
          </w:p>
        </w:tc>
        <w:tc>
          <w:tcPr>
            <w:tcW w:w="120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9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p>
        </w:tc>
        <w:tc>
          <w:tcPr>
            <w:tcW w:w="31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2019年广西大学生会计技能大赛(本科组）</w:t>
            </w:r>
          </w:p>
        </w:tc>
        <w:tc>
          <w:tcPr>
            <w:tcW w:w="233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许丹艺、李丹、陈科先、覃吕婷</w:t>
            </w:r>
          </w:p>
        </w:tc>
        <w:tc>
          <w:tcPr>
            <w:tcW w:w="2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2019年10月</w:t>
            </w:r>
          </w:p>
        </w:tc>
        <w:tc>
          <w:tcPr>
            <w:tcW w:w="229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区级</w:t>
            </w:r>
          </w:p>
        </w:tc>
        <w:tc>
          <w:tcPr>
            <w:tcW w:w="22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三等奖</w:t>
            </w:r>
          </w:p>
        </w:tc>
        <w:tc>
          <w:tcPr>
            <w:tcW w:w="120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9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w:t>
            </w:r>
          </w:p>
        </w:tc>
        <w:tc>
          <w:tcPr>
            <w:tcW w:w="31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2018年全国高校商业精英挑战赛</w:t>
            </w:r>
          </w:p>
        </w:tc>
        <w:tc>
          <w:tcPr>
            <w:tcW w:w="233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石余凤、李秋燕</w:t>
            </w:r>
          </w:p>
        </w:tc>
        <w:tc>
          <w:tcPr>
            <w:tcW w:w="2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2018年5月28日</w:t>
            </w:r>
          </w:p>
        </w:tc>
        <w:tc>
          <w:tcPr>
            <w:tcW w:w="229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国家级</w:t>
            </w:r>
          </w:p>
        </w:tc>
        <w:tc>
          <w:tcPr>
            <w:tcW w:w="22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一等奖</w:t>
            </w:r>
          </w:p>
        </w:tc>
        <w:tc>
          <w:tcPr>
            <w:tcW w:w="120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9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w:t>
            </w:r>
          </w:p>
        </w:tc>
        <w:tc>
          <w:tcPr>
            <w:tcW w:w="31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2019年全国高校商业精英挑战赛</w:t>
            </w:r>
          </w:p>
        </w:tc>
        <w:tc>
          <w:tcPr>
            <w:tcW w:w="233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周崇权、林文杰</w:t>
            </w:r>
          </w:p>
        </w:tc>
        <w:tc>
          <w:tcPr>
            <w:tcW w:w="2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2019年6月3日</w:t>
            </w:r>
          </w:p>
        </w:tc>
        <w:tc>
          <w:tcPr>
            <w:tcW w:w="229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国家级</w:t>
            </w:r>
          </w:p>
        </w:tc>
        <w:tc>
          <w:tcPr>
            <w:tcW w:w="22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二等奖</w:t>
            </w:r>
          </w:p>
        </w:tc>
        <w:tc>
          <w:tcPr>
            <w:tcW w:w="120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9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w:t>
            </w:r>
          </w:p>
        </w:tc>
        <w:tc>
          <w:tcPr>
            <w:tcW w:w="31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全国高校商业精英挑战赛暨第二届广西国际贸易专业技能大赛</w:t>
            </w:r>
          </w:p>
        </w:tc>
        <w:tc>
          <w:tcPr>
            <w:tcW w:w="233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覃佳祺、彭丽娟、谭雪冰、李秋燕 、石余凤、李小芳、</w:t>
            </w:r>
            <w:bookmarkStart w:id="0" w:name="_GoBack"/>
            <w:bookmarkEnd w:id="0"/>
            <w:r>
              <w:rPr>
                <w:rFonts w:hint="eastAsia" w:ascii="Times New Roman" w:hAnsi="Times New Roman" w:eastAsia="仿宋"/>
                <w:snapToGrid w:val="0"/>
                <w:color w:val="000000"/>
                <w:kern w:val="2"/>
                <w:sz w:val="24"/>
                <w:szCs w:val="24"/>
              </w:rPr>
              <w:t>韦锶羽、梁桃钊</w:t>
            </w:r>
          </w:p>
        </w:tc>
        <w:tc>
          <w:tcPr>
            <w:tcW w:w="2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2018年4月</w:t>
            </w:r>
          </w:p>
        </w:tc>
        <w:tc>
          <w:tcPr>
            <w:tcW w:w="229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区级</w:t>
            </w:r>
          </w:p>
        </w:tc>
        <w:tc>
          <w:tcPr>
            <w:tcW w:w="22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一等奖</w:t>
            </w:r>
          </w:p>
        </w:tc>
        <w:tc>
          <w:tcPr>
            <w:tcW w:w="1200" w:type="dxa"/>
            <w:vAlign w:val="center"/>
          </w:tcPr>
          <w:p>
            <w:pPr>
              <w:widowControl w:val="0"/>
              <w:adjustRightInd/>
              <w:snapToGrid/>
              <w:spacing w:after="0" w:line="300" w:lineRule="exact"/>
              <w:jc w:val="center"/>
              <w:rPr>
                <w:rFonts w:ascii="宋体" w:hAnsi="宋体" w:cs="宋体"/>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9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5</w:t>
            </w:r>
          </w:p>
        </w:tc>
        <w:tc>
          <w:tcPr>
            <w:tcW w:w="31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全国高校商业精英挑战赛第三届广西国际贸易专业技能大赛</w:t>
            </w:r>
          </w:p>
        </w:tc>
        <w:tc>
          <w:tcPr>
            <w:tcW w:w="233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庞林、李小芳、杨利树、张美莹、何雨婷、周崇权、庞碧霞</w:t>
            </w:r>
          </w:p>
        </w:tc>
        <w:tc>
          <w:tcPr>
            <w:tcW w:w="2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2019年4月</w:t>
            </w:r>
          </w:p>
        </w:tc>
        <w:tc>
          <w:tcPr>
            <w:tcW w:w="229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区级</w:t>
            </w:r>
          </w:p>
        </w:tc>
        <w:tc>
          <w:tcPr>
            <w:tcW w:w="22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二等奖</w:t>
            </w:r>
          </w:p>
        </w:tc>
        <w:tc>
          <w:tcPr>
            <w:tcW w:w="1200" w:type="dxa"/>
            <w:vAlign w:val="center"/>
          </w:tcPr>
          <w:p>
            <w:pPr>
              <w:widowControl w:val="0"/>
              <w:adjustRightInd/>
              <w:snapToGrid/>
              <w:spacing w:after="0" w:line="300" w:lineRule="exact"/>
              <w:jc w:val="center"/>
              <w:rPr>
                <w:rFonts w:ascii="宋体" w:hAnsi="宋体" w:cs="宋体"/>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9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6</w:t>
            </w:r>
          </w:p>
        </w:tc>
        <w:tc>
          <w:tcPr>
            <w:tcW w:w="31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2017年全国大学生英语竞赛（广西赛区）</w:t>
            </w:r>
          </w:p>
        </w:tc>
        <w:tc>
          <w:tcPr>
            <w:tcW w:w="233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谭钧月、梁琪彩</w:t>
            </w:r>
          </w:p>
        </w:tc>
        <w:tc>
          <w:tcPr>
            <w:tcW w:w="2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2017年</w:t>
            </w:r>
          </w:p>
        </w:tc>
        <w:tc>
          <w:tcPr>
            <w:tcW w:w="229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区级</w:t>
            </w:r>
          </w:p>
        </w:tc>
        <w:tc>
          <w:tcPr>
            <w:tcW w:w="22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优秀奖</w:t>
            </w:r>
          </w:p>
        </w:tc>
        <w:tc>
          <w:tcPr>
            <w:tcW w:w="1200" w:type="dxa"/>
            <w:vAlign w:val="center"/>
          </w:tcPr>
          <w:p>
            <w:pPr>
              <w:widowControl w:val="0"/>
              <w:adjustRightInd/>
              <w:snapToGrid/>
              <w:spacing w:after="0" w:line="300" w:lineRule="exact"/>
              <w:jc w:val="center"/>
              <w:rPr>
                <w:rFonts w:ascii="宋体" w:hAnsi="宋体" w:cs="宋体"/>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9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7</w:t>
            </w:r>
          </w:p>
        </w:tc>
        <w:tc>
          <w:tcPr>
            <w:tcW w:w="31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2016年第八届广西翻译大赛</w:t>
            </w:r>
          </w:p>
        </w:tc>
        <w:tc>
          <w:tcPr>
            <w:tcW w:w="233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谭钧月</w:t>
            </w:r>
          </w:p>
        </w:tc>
        <w:tc>
          <w:tcPr>
            <w:tcW w:w="2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216年</w:t>
            </w:r>
          </w:p>
        </w:tc>
        <w:tc>
          <w:tcPr>
            <w:tcW w:w="229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区级</w:t>
            </w:r>
          </w:p>
        </w:tc>
        <w:tc>
          <w:tcPr>
            <w:tcW w:w="22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优秀奖</w:t>
            </w:r>
          </w:p>
        </w:tc>
        <w:tc>
          <w:tcPr>
            <w:tcW w:w="1200" w:type="dxa"/>
            <w:vAlign w:val="center"/>
          </w:tcPr>
          <w:p>
            <w:pPr>
              <w:widowControl w:val="0"/>
              <w:adjustRightInd/>
              <w:snapToGrid/>
              <w:spacing w:after="0" w:line="3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9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8</w:t>
            </w:r>
          </w:p>
        </w:tc>
        <w:tc>
          <w:tcPr>
            <w:tcW w:w="31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2016年“外研社杯”全国英语写作大赛（广西赛区）</w:t>
            </w:r>
          </w:p>
        </w:tc>
        <w:tc>
          <w:tcPr>
            <w:tcW w:w="233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苏金铭、黄水根</w:t>
            </w:r>
          </w:p>
        </w:tc>
        <w:tc>
          <w:tcPr>
            <w:tcW w:w="2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2016年</w:t>
            </w:r>
          </w:p>
        </w:tc>
        <w:tc>
          <w:tcPr>
            <w:tcW w:w="229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区级</w:t>
            </w:r>
          </w:p>
        </w:tc>
        <w:tc>
          <w:tcPr>
            <w:tcW w:w="22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优秀奖</w:t>
            </w:r>
          </w:p>
        </w:tc>
        <w:tc>
          <w:tcPr>
            <w:tcW w:w="1200" w:type="dxa"/>
            <w:vAlign w:val="center"/>
          </w:tcPr>
          <w:p>
            <w:pPr>
              <w:widowControl w:val="0"/>
              <w:adjustRightInd/>
              <w:snapToGrid/>
              <w:spacing w:after="0" w:line="3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9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9</w:t>
            </w:r>
          </w:p>
        </w:tc>
        <w:tc>
          <w:tcPr>
            <w:tcW w:w="31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2018年全国大学生英语竞赛（广西赛区）</w:t>
            </w:r>
          </w:p>
        </w:tc>
        <w:tc>
          <w:tcPr>
            <w:tcW w:w="233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宁怡彤、柯思羽、苏金铭、韦梦霞、韦卓敏</w:t>
            </w:r>
          </w:p>
        </w:tc>
        <w:tc>
          <w:tcPr>
            <w:tcW w:w="2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2018年</w:t>
            </w:r>
          </w:p>
        </w:tc>
        <w:tc>
          <w:tcPr>
            <w:tcW w:w="229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区级</w:t>
            </w:r>
          </w:p>
        </w:tc>
        <w:tc>
          <w:tcPr>
            <w:tcW w:w="22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优秀奖</w:t>
            </w:r>
          </w:p>
        </w:tc>
        <w:tc>
          <w:tcPr>
            <w:tcW w:w="1200" w:type="dxa"/>
            <w:vAlign w:val="center"/>
          </w:tcPr>
          <w:p>
            <w:pPr>
              <w:widowControl w:val="0"/>
              <w:adjustRightInd/>
              <w:snapToGrid/>
              <w:spacing w:after="0" w:line="300" w:lineRule="exact"/>
              <w:jc w:val="center"/>
              <w:rPr>
                <w:rFonts w:ascii="宋体" w:hAnsi="宋体" w:cs="宋体"/>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9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w:t>
            </w:r>
          </w:p>
        </w:tc>
        <w:tc>
          <w:tcPr>
            <w:tcW w:w="31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2017年“外研社杯”全国英语写作大赛（广西赛区）</w:t>
            </w:r>
          </w:p>
        </w:tc>
        <w:tc>
          <w:tcPr>
            <w:tcW w:w="233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曾进鑫、潘金玲</w:t>
            </w:r>
          </w:p>
        </w:tc>
        <w:tc>
          <w:tcPr>
            <w:tcW w:w="2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2017年</w:t>
            </w:r>
          </w:p>
        </w:tc>
        <w:tc>
          <w:tcPr>
            <w:tcW w:w="229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区级</w:t>
            </w:r>
          </w:p>
        </w:tc>
        <w:tc>
          <w:tcPr>
            <w:tcW w:w="22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优秀奖</w:t>
            </w:r>
          </w:p>
        </w:tc>
        <w:tc>
          <w:tcPr>
            <w:tcW w:w="1200" w:type="dxa"/>
            <w:vAlign w:val="center"/>
          </w:tcPr>
          <w:p>
            <w:pPr>
              <w:widowControl w:val="0"/>
              <w:adjustRightInd/>
              <w:snapToGrid/>
              <w:spacing w:after="0" w:line="300" w:lineRule="exact"/>
              <w:jc w:val="center"/>
              <w:rPr>
                <w:rFonts w:ascii="宋体" w:hAnsi="宋体" w:cs="宋体"/>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9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11</w:t>
            </w:r>
          </w:p>
        </w:tc>
        <w:tc>
          <w:tcPr>
            <w:tcW w:w="31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2018年全国大学生英语竞赛</w:t>
            </w:r>
          </w:p>
        </w:tc>
        <w:tc>
          <w:tcPr>
            <w:tcW w:w="233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王含忧</w:t>
            </w:r>
          </w:p>
        </w:tc>
        <w:tc>
          <w:tcPr>
            <w:tcW w:w="2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2018年</w:t>
            </w:r>
          </w:p>
        </w:tc>
        <w:tc>
          <w:tcPr>
            <w:tcW w:w="229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国家级</w:t>
            </w:r>
          </w:p>
        </w:tc>
        <w:tc>
          <w:tcPr>
            <w:tcW w:w="22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三等奖</w:t>
            </w:r>
          </w:p>
        </w:tc>
        <w:tc>
          <w:tcPr>
            <w:tcW w:w="1200" w:type="dxa"/>
            <w:vAlign w:val="center"/>
          </w:tcPr>
          <w:p>
            <w:pPr>
              <w:widowControl w:val="0"/>
              <w:adjustRightInd/>
              <w:snapToGrid/>
              <w:spacing w:after="0" w:line="300" w:lineRule="exact"/>
              <w:jc w:val="center"/>
              <w:rPr>
                <w:rFonts w:ascii="宋体" w:hAnsi="宋体" w:cs="宋体"/>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9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12</w:t>
            </w:r>
          </w:p>
        </w:tc>
        <w:tc>
          <w:tcPr>
            <w:tcW w:w="31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2017年广西大学生创业营销联盟</w:t>
            </w:r>
          </w:p>
        </w:tc>
        <w:tc>
          <w:tcPr>
            <w:tcW w:w="233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黎耀铧</w:t>
            </w:r>
          </w:p>
        </w:tc>
        <w:tc>
          <w:tcPr>
            <w:tcW w:w="2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2017年12月</w:t>
            </w:r>
          </w:p>
        </w:tc>
        <w:tc>
          <w:tcPr>
            <w:tcW w:w="229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区级</w:t>
            </w:r>
          </w:p>
        </w:tc>
        <w:tc>
          <w:tcPr>
            <w:tcW w:w="22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先进个人</w:t>
            </w:r>
          </w:p>
        </w:tc>
        <w:tc>
          <w:tcPr>
            <w:tcW w:w="1200" w:type="dxa"/>
            <w:vAlign w:val="center"/>
          </w:tcPr>
          <w:p>
            <w:pPr>
              <w:widowControl w:val="0"/>
              <w:adjustRightInd/>
              <w:snapToGrid/>
              <w:spacing w:after="0" w:line="300" w:lineRule="exact"/>
              <w:jc w:val="center"/>
              <w:rPr>
                <w:rFonts w:ascii="宋体" w:hAnsi="宋体" w:cs="宋体"/>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9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13</w:t>
            </w:r>
          </w:p>
        </w:tc>
        <w:tc>
          <w:tcPr>
            <w:tcW w:w="31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第十二届娃哈哈创意营销大赛</w:t>
            </w:r>
          </w:p>
        </w:tc>
        <w:tc>
          <w:tcPr>
            <w:tcW w:w="233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李荟妙、罗棉飞、陀小琰、刘晓琳、王金洪、邓承颖</w:t>
            </w:r>
          </w:p>
        </w:tc>
        <w:tc>
          <w:tcPr>
            <w:tcW w:w="2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2019年6月</w:t>
            </w:r>
          </w:p>
        </w:tc>
        <w:tc>
          <w:tcPr>
            <w:tcW w:w="229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国家级</w:t>
            </w:r>
          </w:p>
        </w:tc>
        <w:tc>
          <w:tcPr>
            <w:tcW w:w="22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优秀奖</w:t>
            </w:r>
          </w:p>
        </w:tc>
        <w:tc>
          <w:tcPr>
            <w:tcW w:w="1200" w:type="dxa"/>
            <w:vAlign w:val="center"/>
          </w:tcPr>
          <w:p>
            <w:pPr>
              <w:widowControl w:val="0"/>
              <w:adjustRightInd/>
              <w:snapToGrid/>
              <w:spacing w:after="0" w:line="300" w:lineRule="exact"/>
              <w:jc w:val="center"/>
              <w:rPr>
                <w:rFonts w:ascii="宋体" w:hAnsi="宋体" w:cs="宋体"/>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9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14</w:t>
            </w:r>
          </w:p>
        </w:tc>
        <w:tc>
          <w:tcPr>
            <w:tcW w:w="31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全国高校传统文化知识竞赛</w:t>
            </w:r>
          </w:p>
        </w:tc>
        <w:tc>
          <w:tcPr>
            <w:tcW w:w="233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韦英姿</w:t>
            </w:r>
          </w:p>
        </w:tc>
        <w:tc>
          <w:tcPr>
            <w:tcW w:w="2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2019年11月</w:t>
            </w:r>
          </w:p>
        </w:tc>
        <w:tc>
          <w:tcPr>
            <w:tcW w:w="229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区级</w:t>
            </w:r>
          </w:p>
        </w:tc>
        <w:tc>
          <w:tcPr>
            <w:tcW w:w="22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一等奖</w:t>
            </w:r>
          </w:p>
        </w:tc>
        <w:tc>
          <w:tcPr>
            <w:tcW w:w="1200" w:type="dxa"/>
            <w:vAlign w:val="center"/>
          </w:tcPr>
          <w:p>
            <w:pPr>
              <w:widowControl w:val="0"/>
              <w:adjustRightInd/>
              <w:snapToGrid/>
              <w:spacing w:after="0" w:line="300" w:lineRule="exact"/>
              <w:jc w:val="center"/>
              <w:rPr>
                <w:rFonts w:ascii="宋体" w:hAnsi="宋体" w:cs="宋体"/>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9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15</w:t>
            </w:r>
          </w:p>
        </w:tc>
        <w:tc>
          <w:tcPr>
            <w:tcW w:w="31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全国高校爱国诗词大会</w:t>
            </w:r>
          </w:p>
        </w:tc>
        <w:tc>
          <w:tcPr>
            <w:tcW w:w="233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韦英姿</w:t>
            </w:r>
          </w:p>
        </w:tc>
        <w:tc>
          <w:tcPr>
            <w:tcW w:w="2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2019年11月</w:t>
            </w:r>
          </w:p>
        </w:tc>
        <w:tc>
          <w:tcPr>
            <w:tcW w:w="229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区级</w:t>
            </w:r>
          </w:p>
        </w:tc>
        <w:tc>
          <w:tcPr>
            <w:tcW w:w="22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三等奖</w:t>
            </w:r>
          </w:p>
        </w:tc>
        <w:tc>
          <w:tcPr>
            <w:tcW w:w="1200" w:type="dxa"/>
            <w:vAlign w:val="center"/>
          </w:tcPr>
          <w:p>
            <w:pPr>
              <w:widowControl w:val="0"/>
              <w:adjustRightInd/>
              <w:snapToGrid/>
              <w:spacing w:after="0" w:line="300" w:lineRule="exact"/>
              <w:jc w:val="center"/>
              <w:rPr>
                <w:rFonts w:ascii="宋体" w:hAnsi="宋体" w:cs="宋体"/>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9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16</w:t>
            </w:r>
          </w:p>
        </w:tc>
        <w:tc>
          <w:tcPr>
            <w:tcW w:w="31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第三届全国书法、硬笔书法网络大赛</w:t>
            </w:r>
          </w:p>
        </w:tc>
        <w:tc>
          <w:tcPr>
            <w:tcW w:w="233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张健</w:t>
            </w:r>
          </w:p>
        </w:tc>
        <w:tc>
          <w:tcPr>
            <w:tcW w:w="2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2018年11月15日</w:t>
            </w:r>
          </w:p>
        </w:tc>
        <w:tc>
          <w:tcPr>
            <w:tcW w:w="229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国家级</w:t>
            </w:r>
          </w:p>
        </w:tc>
        <w:tc>
          <w:tcPr>
            <w:tcW w:w="22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三等奖</w:t>
            </w:r>
          </w:p>
        </w:tc>
        <w:tc>
          <w:tcPr>
            <w:tcW w:w="1200" w:type="dxa"/>
            <w:vAlign w:val="center"/>
          </w:tcPr>
          <w:p>
            <w:pPr>
              <w:widowControl w:val="0"/>
              <w:adjustRightInd/>
              <w:snapToGrid/>
              <w:spacing w:after="0" w:line="300" w:lineRule="exact"/>
              <w:jc w:val="center"/>
              <w:rPr>
                <w:rFonts w:ascii="宋体" w:hAnsi="宋体" w:cs="宋体"/>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9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17</w:t>
            </w:r>
          </w:p>
        </w:tc>
        <w:tc>
          <w:tcPr>
            <w:tcW w:w="31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第四届大学生环保知识竞赛</w:t>
            </w:r>
          </w:p>
        </w:tc>
        <w:tc>
          <w:tcPr>
            <w:tcW w:w="233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黄晨瑶、黄露露、苏凤娇、李广能、覃小梅、陈秋兰</w:t>
            </w:r>
          </w:p>
        </w:tc>
        <w:tc>
          <w:tcPr>
            <w:tcW w:w="2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2020年4月</w:t>
            </w:r>
          </w:p>
        </w:tc>
        <w:tc>
          <w:tcPr>
            <w:tcW w:w="229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国家级</w:t>
            </w:r>
          </w:p>
        </w:tc>
        <w:tc>
          <w:tcPr>
            <w:tcW w:w="22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优秀奖</w:t>
            </w:r>
          </w:p>
        </w:tc>
        <w:tc>
          <w:tcPr>
            <w:tcW w:w="1200" w:type="dxa"/>
            <w:vAlign w:val="center"/>
          </w:tcPr>
          <w:p>
            <w:pPr>
              <w:widowControl w:val="0"/>
              <w:adjustRightInd/>
              <w:snapToGrid/>
              <w:spacing w:after="0" w:line="300" w:lineRule="exact"/>
              <w:jc w:val="center"/>
              <w:rPr>
                <w:rFonts w:ascii="宋体" w:hAnsi="宋体" w:cs="宋体"/>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9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18</w:t>
            </w:r>
          </w:p>
        </w:tc>
        <w:tc>
          <w:tcPr>
            <w:tcW w:w="31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第四届大学生预防艾滋病知识竞赛</w:t>
            </w:r>
          </w:p>
        </w:tc>
        <w:tc>
          <w:tcPr>
            <w:tcW w:w="233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覃小梅、陈静、黄晨瑶、黄露露、李荟妙</w:t>
            </w:r>
          </w:p>
        </w:tc>
        <w:tc>
          <w:tcPr>
            <w:tcW w:w="2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2019年1月</w:t>
            </w:r>
          </w:p>
        </w:tc>
        <w:tc>
          <w:tcPr>
            <w:tcW w:w="229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国家级</w:t>
            </w:r>
          </w:p>
        </w:tc>
        <w:tc>
          <w:tcPr>
            <w:tcW w:w="22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优秀奖</w:t>
            </w:r>
          </w:p>
        </w:tc>
        <w:tc>
          <w:tcPr>
            <w:tcW w:w="1200" w:type="dxa"/>
            <w:vAlign w:val="center"/>
          </w:tcPr>
          <w:p>
            <w:pPr>
              <w:widowControl w:val="0"/>
              <w:adjustRightInd/>
              <w:snapToGrid/>
              <w:spacing w:after="0" w:line="300" w:lineRule="exact"/>
              <w:jc w:val="center"/>
              <w:rPr>
                <w:rFonts w:ascii="宋体" w:hAnsi="宋体" w:cs="宋体"/>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9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19</w:t>
            </w:r>
          </w:p>
        </w:tc>
        <w:tc>
          <w:tcPr>
            <w:tcW w:w="31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全国大学生旧物利用知识竞赛</w:t>
            </w:r>
          </w:p>
        </w:tc>
        <w:tc>
          <w:tcPr>
            <w:tcW w:w="233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戴彩芹</w:t>
            </w:r>
          </w:p>
        </w:tc>
        <w:tc>
          <w:tcPr>
            <w:tcW w:w="225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2020年4月</w:t>
            </w:r>
          </w:p>
        </w:tc>
        <w:tc>
          <w:tcPr>
            <w:tcW w:w="229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国家级</w:t>
            </w:r>
          </w:p>
        </w:tc>
        <w:tc>
          <w:tcPr>
            <w:tcW w:w="22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二等奖</w:t>
            </w:r>
          </w:p>
        </w:tc>
        <w:tc>
          <w:tcPr>
            <w:tcW w:w="1200" w:type="dxa"/>
            <w:vAlign w:val="center"/>
          </w:tcPr>
          <w:p>
            <w:pPr>
              <w:widowControl w:val="0"/>
              <w:adjustRightInd/>
              <w:snapToGrid/>
              <w:spacing w:after="0" w:line="300" w:lineRule="exact"/>
              <w:jc w:val="center"/>
              <w:rPr>
                <w:rFonts w:ascii="宋体" w:hAnsi="宋体" w:cs="宋体"/>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974" w:type="dxa"/>
            <w:vAlign w:val="center"/>
          </w:tcPr>
          <w:p>
            <w:pPr>
              <w:widowControl w:val="0"/>
              <w:adjustRightInd/>
              <w:snapToGrid/>
              <w:spacing w:after="0" w:line="300" w:lineRule="exact"/>
              <w:jc w:val="center"/>
              <w:rPr>
                <w:rFonts w:ascii="宋体" w:hAnsi="宋体" w:cs="宋体"/>
                <w:snapToGrid w:val="0"/>
                <w:color w:val="000000"/>
                <w:kern w:val="2"/>
                <w:sz w:val="21"/>
                <w:szCs w:val="21"/>
              </w:rPr>
            </w:pPr>
            <w:r>
              <w:rPr>
                <w:rFonts w:ascii="Times New Roman" w:hAnsi="Times New Roman" w:eastAsia="仿宋"/>
                <w:snapToGrid w:val="0"/>
                <w:color w:val="000000"/>
                <w:kern w:val="2"/>
              </w:rPr>
              <w:t>20</w:t>
            </w:r>
          </w:p>
        </w:tc>
        <w:tc>
          <w:tcPr>
            <w:tcW w:w="3145" w:type="dxa"/>
            <w:vAlign w:val="center"/>
          </w:tcPr>
          <w:p>
            <w:pPr>
              <w:jc w:val="center"/>
              <w:textAlignment w:val="center"/>
              <w:rPr>
                <w:rFonts w:ascii="宋体" w:hAnsi="宋体" w:cs="宋体"/>
                <w:snapToGrid w:val="0"/>
                <w:color w:val="000000"/>
                <w:kern w:val="2"/>
                <w:sz w:val="21"/>
                <w:szCs w:val="21"/>
              </w:rPr>
            </w:pPr>
            <w:r>
              <w:rPr>
                <w:rFonts w:hint="eastAsia" w:ascii="宋体" w:hAnsi="宋体" w:cs="宋体"/>
              </w:rPr>
              <w:t>第五届中国大学生互联网+大赛（广西赛区）</w:t>
            </w:r>
          </w:p>
        </w:tc>
        <w:tc>
          <w:tcPr>
            <w:tcW w:w="2335" w:type="dxa"/>
            <w:vAlign w:val="center"/>
          </w:tcPr>
          <w:p>
            <w:pPr>
              <w:jc w:val="center"/>
              <w:textAlignment w:val="center"/>
              <w:rPr>
                <w:rFonts w:ascii="宋体" w:hAnsi="宋体" w:cs="宋体"/>
                <w:snapToGrid w:val="0"/>
                <w:color w:val="000000"/>
                <w:kern w:val="2"/>
                <w:sz w:val="21"/>
                <w:szCs w:val="21"/>
              </w:rPr>
            </w:pPr>
            <w:r>
              <w:rPr>
                <w:rFonts w:hint="eastAsia" w:ascii="宋体" w:hAnsi="宋体" w:cs="宋体"/>
              </w:rPr>
              <w:t>覃春喜、任敏珉、冯桂彩、唐光尚、李伟宏、王蕾、温芳蕙、周晓婕</w:t>
            </w:r>
          </w:p>
        </w:tc>
        <w:tc>
          <w:tcPr>
            <w:tcW w:w="2256" w:type="dxa"/>
            <w:vAlign w:val="center"/>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2019年11月</w:t>
            </w:r>
          </w:p>
        </w:tc>
        <w:tc>
          <w:tcPr>
            <w:tcW w:w="2294" w:type="dxa"/>
            <w:vAlign w:val="center"/>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区级</w:t>
            </w:r>
          </w:p>
        </w:tc>
        <w:tc>
          <w:tcPr>
            <w:tcW w:w="2212" w:type="dxa"/>
            <w:vAlign w:val="center"/>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铜奖</w:t>
            </w:r>
          </w:p>
        </w:tc>
        <w:tc>
          <w:tcPr>
            <w:tcW w:w="1200" w:type="dxa"/>
            <w:vAlign w:val="center"/>
          </w:tcPr>
          <w:p>
            <w:pPr>
              <w:widowControl w:val="0"/>
              <w:adjustRightInd/>
              <w:snapToGrid/>
              <w:spacing w:after="0" w:line="300" w:lineRule="exact"/>
              <w:jc w:val="center"/>
              <w:rPr>
                <w:rFonts w:ascii="宋体" w:hAnsi="宋体" w:cs="宋体"/>
                <w:snapToGrid w:val="0"/>
                <w:color w:val="000000"/>
                <w:kern w:val="2"/>
                <w:sz w:val="21"/>
                <w:szCs w:val="21"/>
              </w:rPr>
            </w:pPr>
          </w:p>
        </w:tc>
      </w:tr>
    </w:tbl>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注：获奖类别是指国家级、区级。</w:t>
      </w:r>
    </w:p>
    <w:p>
      <w:pPr>
        <w:widowControl w:val="0"/>
        <w:adjustRightInd/>
        <w:snapToGrid/>
        <w:spacing w:after="0" w:line="300" w:lineRule="exact"/>
        <w:rPr>
          <w:rFonts w:ascii="Times New Roman" w:hAnsi="Times New Roman" w:eastAsia="仿宋"/>
          <w:snapToGrid w:val="0"/>
          <w:color w:val="000000"/>
          <w:kern w:val="2"/>
          <w:sz w:val="24"/>
          <w:szCs w:val="24"/>
        </w:rPr>
      </w:pP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19. 专业开设以来学生发表学术论文/作品情况表</w:t>
      </w:r>
    </w:p>
    <w:tbl>
      <w:tblPr>
        <w:tblStyle w:val="6"/>
        <w:tblW w:w="14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0"/>
        <w:gridCol w:w="2664"/>
        <w:gridCol w:w="4256"/>
        <w:gridCol w:w="1779"/>
        <w:gridCol w:w="1779"/>
        <w:gridCol w:w="1780"/>
        <w:gridCol w:w="1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1070"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序号</w:t>
            </w:r>
          </w:p>
        </w:tc>
        <w:tc>
          <w:tcPr>
            <w:tcW w:w="2664"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论文/作品名称</w:t>
            </w:r>
          </w:p>
        </w:tc>
        <w:tc>
          <w:tcPr>
            <w:tcW w:w="4256"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发表期刊、出版物、会议</w:t>
            </w:r>
          </w:p>
        </w:tc>
        <w:tc>
          <w:tcPr>
            <w:tcW w:w="1779"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发表时间</w:t>
            </w:r>
          </w:p>
        </w:tc>
        <w:tc>
          <w:tcPr>
            <w:tcW w:w="3559" w:type="dxa"/>
            <w:gridSpan w:val="2"/>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学生作者</w:t>
            </w:r>
          </w:p>
        </w:tc>
        <w:tc>
          <w:tcPr>
            <w:tcW w:w="1068"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1070" w:type="dxa"/>
            <w:vMerge w:val="continue"/>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2664" w:type="dxa"/>
            <w:vMerge w:val="continue"/>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4256" w:type="dxa"/>
            <w:vMerge w:val="continue"/>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779" w:type="dxa"/>
            <w:vMerge w:val="continue"/>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77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第一作者</w:t>
            </w:r>
          </w:p>
        </w:tc>
        <w:tc>
          <w:tcPr>
            <w:tcW w:w="178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第二作者</w:t>
            </w:r>
          </w:p>
        </w:tc>
        <w:tc>
          <w:tcPr>
            <w:tcW w:w="1068" w:type="dxa"/>
            <w:vMerge w:val="continue"/>
          </w:tcPr>
          <w:p>
            <w:pPr>
              <w:widowControl w:val="0"/>
              <w:adjustRightInd/>
              <w:snapToGrid/>
              <w:spacing w:after="0" w:line="300" w:lineRule="exact"/>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1070"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2664"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4256"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779"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779"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780"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068" w:type="dxa"/>
          </w:tcPr>
          <w:p>
            <w:pPr>
              <w:widowControl w:val="0"/>
              <w:adjustRightInd/>
              <w:snapToGrid/>
              <w:spacing w:after="0" w:line="300" w:lineRule="exact"/>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1070"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2664"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4256"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779"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779"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780"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068" w:type="dxa"/>
          </w:tcPr>
          <w:p>
            <w:pPr>
              <w:widowControl w:val="0"/>
              <w:adjustRightInd/>
              <w:snapToGrid/>
              <w:spacing w:after="0" w:line="300" w:lineRule="exact"/>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trPr>
        <w:tc>
          <w:tcPr>
            <w:tcW w:w="1070"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2664"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4256"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779"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779"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780"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068" w:type="dxa"/>
          </w:tcPr>
          <w:p>
            <w:pPr>
              <w:widowControl w:val="0"/>
              <w:adjustRightInd/>
              <w:snapToGrid/>
              <w:spacing w:after="0" w:line="300" w:lineRule="exact"/>
              <w:rPr>
                <w:rFonts w:ascii="Times New Roman" w:hAnsi="Times New Roman" w:eastAsia="仿宋"/>
                <w:snapToGrid w:val="0"/>
                <w:color w:val="000000"/>
                <w:kern w:val="2"/>
                <w:sz w:val="24"/>
                <w:szCs w:val="24"/>
              </w:rPr>
            </w:pPr>
          </w:p>
        </w:tc>
      </w:tr>
    </w:tbl>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注：本表所统计论文/作品指该专业学生为第一或第二作者的论文/作品。</w:t>
      </w:r>
    </w:p>
    <w:p>
      <w:pPr>
        <w:widowControl w:val="0"/>
        <w:adjustRightInd/>
        <w:snapToGrid/>
        <w:spacing w:after="0" w:line="300" w:lineRule="exact"/>
        <w:rPr>
          <w:rFonts w:ascii="Times New Roman" w:hAnsi="Times New Roman" w:eastAsia="仿宋"/>
          <w:snapToGrid w:val="0"/>
          <w:color w:val="000000"/>
          <w:kern w:val="2"/>
          <w:sz w:val="24"/>
          <w:szCs w:val="24"/>
        </w:rPr>
      </w:pP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20. 专业开设以来学生获得专利受理情况表</w:t>
      </w:r>
    </w:p>
    <w:tbl>
      <w:tblPr>
        <w:tblStyle w:val="6"/>
        <w:tblW w:w="144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8"/>
        <w:gridCol w:w="2530"/>
        <w:gridCol w:w="1809"/>
        <w:gridCol w:w="1809"/>
        <w:gridCol w:w="1912"/>
        <w:gridCol w:w="2155"/>
        <w:gridCol w:w="2031"/>
        <w:gridCol w:w="1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6" w:hRule="atLeast"/>
        </w:trPr>
        <w:tc>
          <w:tcPr>
            <w:tcW w:w="108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序号</w:t>
            </w:r>
          </w:p>
        </w:tc>
        <w:tc>
          <w:tcPr>
            <w:tcW w:w="25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专利名称</w:t>
            </w:r>
          </w:p>
        </w:tc>
        <w:tc>
          <w:tcPr>
            <w:tcW w:w="180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专利号</w:t>
            </w:r>
          </w:p>
        </w:tc>
        <w:tc>
          <w:tcPr>
            <w:tcW w:w="180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专利类别</w:t>
            </w:r>
          </w:p>
        </w:tc>
        <w:tc>
          <w:tcPr>
            <w:tcW w:w="19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受理时间</w:t>
            </w:r>
          </w:p>
        </w:tc>
        <w:tc>
          <w:tcPr>
            <w:tcW w:w="215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发明者</w:t>
            </w:r>
          </w:p>
        </w:tc>
        <w:tc>
          <w:tcPr>
            <w:tcW w:w="203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限额内排名</w:t>
            </w:r>
          </w:p>
        </w:tc>
        <w:tc>
          <w:tcPr>
            <w:tcW w:w="114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6" w:hRule="atLeast"/>
        </w:trPr>
        <w:tc>
          <w:tcPr>
            <w:tcW w:w="108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5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80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80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9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15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03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14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6" w:hRule="atLeast"/>
        </w:trPr>
        <w:tc>
          <w:tcPr>
            <w:tcW w:w="108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5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80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80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9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15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03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14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6" w:hRule="atLeast"/>
        </w:trPr>
        <w:tc>
          <w:tcPr>
            <w:tcW w:w="108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5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80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80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9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15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03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14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8" w:hRule="atLeast"/>
        </w:trPr>
        <w:tc>
          <w:tcPr>
            <w:tcW w:w="108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5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80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80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9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15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03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14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bl>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注：该专业学生为专利受理限额内成员。专利类别分为发明、实用新型、外观设计。</w:t>
      </w: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 xml:space="preserve"> </w:t>
      </w: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21. 专业开设以来学生获得相关行业证书情况表</w:t>
      </w:r>
    </w:p>
    <w:tbl>
      <w:tblPr>
        <w:tblStyle w:val="6"/>
        <w:tblW w:w="145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7"/>
        <w:gridCol w:w="3232"/>
        <w:gridCol w:w="2072"/>
        <w:gridCol w:w="2072"/>
        <w:gridCol w:w="2396"/>
        <w:gridCol w:w="2884"/>
        <w:gridCol w:w="9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6" w:hRule="atLeast"/>
          <w:tblHeader/>
        </w:trPr>
        <w:tc>
          <w:tcPr>
            <w:tcW w:w="91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序号</w:t>
            </w:r>
          </w:p>
        </w:tc>
        <w:tc>
          <w:tcPr>
            <w:tcW w:w="323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证书名称</w:t>
            </w:r>
          </w:p>
        </w:tc>
        <w:tc>
          <w:tcPr>
            <w:tcW w:w="207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证书类型</w:t>
            </w:r>
          </w:p>
        </w:tc>
        <w:tc>
          <w:tcPr>
            <w:tcW w:w="207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证书级别</w:t>
            </w:r>
          </w:p>
        </w:tc>
        <w:tc>
          <w:tcPr>
            <w:tcW w:w="239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获得时间</w:t>
            </w:r>
          </w:p>
        </w:tc>
        <w:tc>
          <w:tcPr>
            <w:tcW w:w="288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学生姓名</w:t>
            </w:r>
          </w:p>
        </w:tc>
        <w:tc>
          <w:tcPr>
            <w:tcW w:w="94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917" w:type="dxa"/>
            <w:vAlign w:val="center"/>
          </w:tcPr>
          <w:p>
            <w:pPr>
              <w:widowControl w:val="0"/>
              <w:adjustRightInd/>
              <w:snapToGrid/>
              <w:spacing w:after="0" w:line="300" w:lineRule="exact"/>
              <w:jc w:val="center"/>
              <w:rPr>
                <w:rFonts w:ascii="宋体" w:hAnsi="宋体" w:cs="宋体"/>
                <w:snapToGrid w:val="0"/>
                <w:color w:val="000000"/>
                <w:kern w:val="2"/>
                <w:sz w:val="21"/>
                <w:szCs w:val="21"/>
              </w:rPr>
            </w:pPr>
            <w:r>
              <w:rPr>
                <w:rFonts w:hint="eastAsia" w:ascii="宋体" w:hAnsi="宋体" w:cs="宋体"/>
                <w:snapToGrid w:val="0"/>
                <w:color w:val="000000"/>
                <w:kern w:val="2"/>
                <w:sz w:val="21"/>
                <w:szCs w:val="21"/>
              </w:rPr>
              <w:t>1</w:t>
            </w:r>
          </w:p>
        </w:tc>
        <w:tc>
          <w:tcPr>
            <w:tcW w:w="3232" w:type="dxa"/>
            <w:vAlign w:val="center"/>
          </w:tcPr>
          <w:p>
            <w:pPr>
              <w:spacing w:after="0"/>
              <w:jc w:val="center"/>
              <w:rPr>
                <w:rFonts w:ascii="宋体" w:hAnsi="宋体" w:cs="宋体"/>
                <w:snapToGrid w:val="0"/>
                <w:color w:val="000000"/>
                <w:kern w:val="2"/>
                <w:sz w:val="21"/>
                <w:szCs w:val="21"/>
              </w:rPr>
            </w:pPr>
            <w:r>
              <w:rPr>
                <w:rFonts w:hint="eastAsia" w:ascii="宋体" w:hAnsi="宋体"/>
                <w:color w:val="000000"/>
              </w:rPr>
              <w:t>初级会计证</w:t>
            </w:r>
          </w:p>
        </w:tc>
        <w:tc>
          <w:tcPr>
            <w:tcW w:w="2072" w:type="dxa"/>
            <w:vAlign w:val="center"/>
          </w:tcPr>
          <w:p>
            <w:pPr>
              <w:spacing w:after="0"/>
              <w:jc w:val="center"/>
              <w:rPr>
                <w:rFonts w:ascii="宋体" w:hAnsi="宋体" w:cs="宋体"/>
                <w:snapToGrid w:val="0"/>
                <w:color w:val="000000"/>
                <w:kern w:val="2"/>
                <w:sz w:val="21"/>
                <w:szCs w:val="21"/>
              </w:rPr>
            </w:pPr>
            <w:r>
              <w:rPr>
                <w:rFonts w:hint="eastAsia" w:ascii="宋体" w:hAnsi="宋体" w:cs="宋体"/>
                <w:snapToGrid w:val="0"/>
                <w:color w:val="000000"/>
                <w:kern w:val="2"/>
                <w:sz w:val="21"/>
                <w:szCs w:val="21"/>
              </w:rPr>
              <w:t>国家认证</w:t>
            </w:r>
          </w:p>
        </w:tc>
        <w:tc>
          <w:tcPr>
            <w:tcW w:w="2072" w:type="dxa"/>
            <w:vAlign w:val="center"/>
          </w:tcPr>
          <w:p>
            <w:pPr>
              <w:spacing w:after="0"/>
              <w:jc w:val="center"/>
              <w:rPr>
                <w:rFonts w:ascii="宋体" w:hAnsi="宋体" w:cs="宋体"/>
                <w:snapToGrid w:val="0"/>
                <w:color w:val="000000"/>
                <w:kern w:val="2"/>
                <w:sz w:val="21"/>
                <w:szCs w:val="21"/>
              </w:rPr>
            </w:pPr>
            <w:r>
              <w:rPr>
                <w:rFonts w:hint="eastAsia" w:ascii="宋体" w:hAnsi="宋体" w:cs="宋体"/>
                <w:snapToGrid w:val="0"/>
                <w:color w:val="000000"/>
                <w:kern w:val="2"/>
                <w:sz w:val="21"/>
                <w:szCs w:val="21"/>
              </w:rPr>
              <w:t>初级</w:t>
            </w:r>
          </w:p>
        </w:tc>
        <w:tc>
          <w:tcPr>
            <w:tcW w:w="2396" w:type="dxa"/>
            <w:vAlign w:val="center"/>
          </w:tcPr>
          <w:p>
            <w:pPr>
              <w:spacing w:after="0"/>
              <w:jc w:val="center"/>
              <w:rPr>
                <w:rFonts w:ascii="宋体" w:hAnsi="宋体" w:cs="宋体"/>
                <w:snapToGrid w:val="0"/>
                <w:color w:val="000000"/>
                <w:kern w:val="2"/>
                <w:sz w:val="21"/>
                <w:szCs w:val="21"/>
              </w:rPr>
            </w:pPr>
            <w:r>
              <w:rPr>
                <w:rFonts w:hint="eastAsia" w:ascii="宋体" w:hAnsi="宋体"/>
                <w:color w:val="000000"/>
              </w:rPr>
              <w:t>2019年5月19日</w:t>
            </w:r>
          </w:p>
        </w:tc>
        <w:tc>
          <w:tcPr>
            <w:tcW w:w="2884" w:type="dxa"/>
            <w:vAlign w:val="center"/>
          </w:tcPr>
          <w:p>
            <w:pPr>
              <w:spacing w:after="0"/>
              <w:jc w:val="center"/>
              <w:rPr>
                <w:rFonts w:ascii="宋体" w:hAnsi="宋体" w:cs="宋体"/>
                <w:snapToGrid w:val="0"/>
                <w:color w:val="000000"/>
                <w:kern w:val="2"/>
                <w:sz w:val="21"/>
                <w:szCs w:val="21"/>
              </w:rPr>
            </w:pPr>
            <w:r>
              <w:rPr>
                <w:rFonts w:hint="eastAsia" w:ascii="宋体" w:hAnsi="宋体" w:cs="宋体"/>
                <w:snapToGrid w:val="0"/>
                <w:color w:val="000000"/>
                <w:kern w:val="2"/>
                <w:sz w:val="21"/>
                <w:szCs w:val="21"/>
              </w:rPr>
              <w:t>刘星杰、李尚华、黄政凯、黄水根、吴铭湲、欧俐伶、唐华宇、何小梅、钟泉美、谭钧月、陆文英等37人</w:t>
            </w:r>
          </w:p>
        </w:tc>
        <w:tc>
          <w:tcPr>
            <w:tcW w:w="94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917" w:type="dxa"/>
            <w:vAlign w:val="center"/>
          </w:tcPr>
          <w:p>
            <w:pPr>
              <w:widowControl w:val="0"/>
              <w:adjustRightInd/>
              <w:snapToGrid/>
              <w:spacing w:after="0" w:line="300" w:lineRule="exact"/>
              <w:jc w:val="center"/>
              <w:rPr>
                <w:rFonts w:hint="eastAsia" w:ascii="宋体" w:hAnsi="宋体" w:cs="宋体"/>
                <w:snapToGrid w:val="0"/>
                <w:color w:val="000000"/>
                <w:kern w:val="2"/>
                <w:sz w:val="21"/>
                <w:szCs w:val="21"/>
              </w:rPr>
            </w:pPr>
            <w:r>
              <w:rPr>
                <w:rFonts w:hint="eastAsia" w:ascii="宋体" w:hAnsi="宋体" w:cs="宋体"/>
                <w:snapToGrid w:val="0"/>
                <w:color w:val="000000"/>
                <w:kern w:val="2"/>
                <w:sz w:val="21"/>
                <w:szCs w:val="21"/>
              </w:rPr>
              <w:t>2</w:t>
            </w:r>
          </w:p>
        </w:tc>
        <w:tc>
          <w:tcPr>
            <w:tcW w:w="3232" w:type="dxa"/>
            <w:vAlign w:val="center"/>
          </w:tcPr>
          <w:p>
            <w:pPr>
              <w:spacing w:after="0"/>
              <w:jc w:val="center"/>
              <w:rPr>
                <w:rFonts w:hint="eastAsia" w:ascii="宋体" w:hAnsi="宋体"/>
                <w:color w:val="000000"/>
              </w:rPr>
            </w:pPr>
            <w:r>
              <w:rPr>
                <w:rFonts w:hint="eastAsia" w:ascii="宋体" w:hAnsi="宋体"/>
                <w:color w:val="000000"/>
              </w:rPr>
              <w:t>初级会计证</w:t>
            </w:r>
          </w:p>
        </w:tc>
        <w:tc>
          <w:tcPr>
            <w:tcW w:w="2072" w:type="dxa"/>
            <w:vAlign w:val="center"/>
          </w:tcPr>
          <w:p>
            <w:pPr>
              <w:spacing w:after="0"/>
              <w:jc w:val="center"/>
              <w:rPr>
                <w:rFonts w:hint="eastAsia" w:ascii="宋体" w:hAnsi="宋体" w:cs="宋体"/>
                <w:snapToGrid w:val="0"/>
                <w:color w:val="000000"/>
                <w:kern w:val="2"/>
                <w:sz w:val="21"/>
                <w:szCs w:val="21"/>
              </w:rPr>
            </w:pPr>
            <w:r>
              <w:rPr>
                <w:rFonts w:hint="eastAsia" w:ascii="宋体" w:hAnsi="宋体" w:cs="宋体"/>
                <w:snapToGrid w:val="0"/>
                <w:color w:val="000000"/>
                <w:kern w:val="2"/>
                <w:sz w:val="21"/>
                <w:szCs w:val="21"/>
              </w:rPr>
              <w:t>国家认证</w:t>
            </w:r>
          </w:p>
        </w:tc>
        <w:tc>
          <w:tcPr>
            <w:tcW w:w="2072" w:type="dxa"/>
            <w:vAlign w:val="center"/>
          </w:tcPr>
          <w:p>
            <w:pPr>
              <w:spacing w:after="0"/>
              <w:jc w:val="center"/>
              <w:rPr>
                <w:rFonts w:ascii="宋体" w:hAnsi="宋体" w:cs="宋体"/>
                <w:snapToGrid w:val="0"/>
                <w:color w:val="000000"/>
                <w:kern w:val="2"/>
                <w:sz w:val="21"/>
                <w:szCs w:val="21"/>
              </w:rPr>
            </w:pPr>
            <w:r>
              <w:rPr>
                <w:rFonts w:hint="eastAsia" w:ascii="宋体" w:hAnsi="宋体" w:cs="宋体"/>
                <w:snapToGrid w:val="0"/>
                <w:color w:val="000000"/>
                <w:kern w:val="2"/>
                <w:sz w:val="21"/>
                <w:szCs w:val="21"/>
              </w:rPr>
              <w:t>初级</w:t>
            </w:r>
          </w:p>
        </w:tc>
        <w:tc>
          <w:tcPr>
            <w:tcW w:w="2396" w:type="dxa"/>
            <w:vAlign w:val="center"/>
          </w:tcPr>
          <w:p>
            <w:pPr>
              <w:spacing w:after="0"/>
              <w:jc w:val="center"/>
              <w:rPr>
                <w:rFonts w:hint="eastAsia" w:ascii="宋体" w:hAnsi="宋体"/>
                <w:color w:val="000000"/>
              </w:rPr>
            </w:pPr>
            <w:r>
              <w:rPr>
                <w:rFonts w:hint="eastAsia" w:ascii="宋体" w:hAnsi="宋体"/>
                <w:color w:val="000000"/>
              </w:rPr>
              <w:t>2020年5月19日</w:t>
            </w:r>
          </w:p>
        </w:tc>
        <w:tc>
          <w:tcPr>
            <w:tcW w:w="2884" w:type="dxa"/>
            <w:vAlign w:val="center"/>
          </w:tcPr>
          <w:p>
            <w:pPr>
              <w:spacing w:after="0"/>
              <w:jc w:val="center"/>
              <w:rPr>
                <w:rFonts w:hint="eastAsia" w:ascii="宋体" w:hAnsi="宋体" w:cs="宋体"/>
                <w:snapToGrid w:val="0"/>
                <w:color w:val="000000"/>
                <w:kern w:val="2"/>
                <w:sz w:val="21"/>
                <w:szCs w:val="21"/>
              </w:rPr>
            </w:pPr>
            <w:r>
              <w:rPr>
                <w:rFonts w:hint="eastAsia" w:ascii="宋体" w:hAnsi="宋体" w:cs="宋体"/>
                <w:snapToGrid w:val="0"/>
                <w:color w:val="000000"/>
                <w:kern w:val="2"/>
                <w:sz w:val="21"/>
                <w:szCs w:val="21"/>
              </w:rPr>
              <w:t>曹仁灿、廖晓雯、文钰皓、冯芷耀、苏少甜、彭契英、韦庆隆、向光浩等27人</w:t>
            </w:r>
          </w:p>
        </w:tc>
        <w:tc>
          <w:tcPr>
            <w:tcW w:w="94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4" w:hRule="atLeast"/>
        </w:trPr>
        <w:tc>
          <w:tcPr>
            <w:tcW w:w="917" w:type="dxa"/>
            <w:vAlign w:val="center"/>
          </w:tcPr>
          <w:p>
            <w:pPr>
              <w:widowControl w:val="0"/>
              <w:adjustRightInd/>
              <w:snapToGrid/>
              <w:spacing w:after="0" w:line="300" w:lineRule="exact"/>
              <w:jc w:val="center"/>
              <w:rPr>
                <w:rFonts w:ascii="宋体" w:hAnsi="宋体" w:cs="宋体"/>
                <w:snapToGrid w:val="0"/>
                <w:color w:val="000000"/>
                <w:kern w:val="2"/>
                <w:sz w:val="21"/>
                <w:szCs w:val="21"/>
              </w:rPr>
            </w:pPr>
            <w:r>
              <w:rPr>
                <w:rFonts w:hint="eastAsia" w:ascii="宋体" w:hAnsi="宋体" w:cs="宋体"/>
                <w:snapToGrid w:val="0"/>
                <w:color w:val="000000"/>
                <w:kern w:val="2"/>
                <w:sz w:val="21"/>
                <w:szCs w:val="21"/>
              </w:rPr>
              <w:t>3</w:t>
            </w:r>
          </w:p>
        </w:tc>
        <w:tc>
          <w:tcPr>
            <w:tcW w:w="3232" w:type="dxa"/>
            <w:vAlign w:val="center"/>
          </w:tcPr>
          <w:p>
            <w:pPr>
              <w:spacing w:after="0"/>
              <w:jc w:val="center"/>
              <w:rPr>
                <w:rFonts w:ascii="宋体" w:hAnsi="宋体"/>
                <w:color w:val="000000"/>
              </w:rPr>
            </w:pPr>
            <w:r>
              <w:rPr>
                <w:rFonts w:hint="eastAsia"/>
              </w:rPr>
              <w:t>证券业从业资格证</w:t>
            </w:r>
          </w:p>
        </w:tc>
        <w:tc>
          <w:tcPr>
            <w:tcW w:w="2072" w:type="dxa"/>
            <w:vAlign w:val="center"/>
          </w:tcPr>
          <w:p>
            <w:pPr>
              <w:spacing w:after="0"/>
              <w:jc w:val="center"/>
              <w:rPr>
                <w:rFonts w:ascii="宋体" w:hAnsi="宋体" w:cs="宋体"/>
                <w:snapToGrid w:val="0"/>
                <w:color w:val="000000"/>
                <w:kern w:val="2"/>
                <w:sz w:val="21"/>
                <w:szCs w:val="21"/>
              </w:rPr>
            </w:pPr>
            <w:r>
              <w:rPr>
                <w:rFonts w:hint="eastAsia" w:ascii="宋体" w:hAnsi="宋体" w:cs="宋体"/>
                <w:snapToGrid w:val="0"/>
                <w:color w:val="000000"/>
                <w:kern w:val="2"/>
                <w:sz w:val="21"/>
                <w:szCs w:val="21"/>
              </w:rPr>
              <w:t>行业认证</w:t>
            </w:r>
          </w:p>
        </w:tc>
        <w:tc>
          <w:tcPr>
            <w:tcW w:w="2072" w:type="dxa"/>
            <w:vAlign w:val="center"/>
          </w:tcPr>
          <w:p>
            <w:pPr>
              <w:spacing w:after="0"/>
              <w:jc w:val="center"/>
              <w:rPr>
                <w:rFonts w:ascii="宋体" w:hAnsi="宋体"/>
                <w:color w:val="000000"/>
              </w:rPr>
            </w:pPr>
          </w:p>
        </w:tc>
        <w:tc>
          <w:tcPr>
            <w:tcW w:w="2396" w:type="dxa"/>
            <w:vAlign w:val="center"/>
          </w:tcPr>
          <w:p>
            <w:pPr>
              <w:spacing w:after="0"/>
              <w:jc w:val="center"/>
              <w:rPr>
                <w:rFonts w:ascii="宋体" w:hAnsi="宋体"/>
                <w:color w:val="000000"/>
              </w:rPr>
            </w:pPr>
            <w:r>
              <w:rPr>
                <w:rFonts w:hint="eastAsia" w:ascii="宋体" w:hAnsi="宋体"/>
                <w:color w:val="000000"/>
              </w:rPr>
              <w:t>2019年3月</w:t>
            </w:r>
          </w:p>
        </w:tc>
        <w:tc>
          <w:tcPr>
            <w:tcW w:w="2884" w:type="dxa"/>
            <w:vAlign w:val="center"/>
          </w:tcPr>
          <w:p>
            <w:pPr>
              <w:spacing w:after="0"/>
              <w:jc w:val="center"/>
            </w:pPr>
            <w:r>
              <w:rPr>
                <w:rFonts w:hint="eastAsia"/>
              </w:rPr>
              <w:t>苏金铭、柯思羽、李小燕</w:t>
            </w:r>
          </w:p>
        </w:tc>
        <w:tc>
          <w:tcPr>
            <w:tcW w:w="94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 w:hRule="atLeast"/>
        </w:trPr>
        <w:tc>
          <w:tcPr>
            <w:tcW w:w="917" w:type="dxa"/>
            <w:vAlign w:val="center"/>
          </w:tcPr>
          <w:p>
            <w:pPr>
              <w:widowControl w:val="0"/>
              <w:adjustRightInd/>
              <w:snapToGrid/>
              <w:spacing w:after="0" w:line="300" w:lineRule="exact"/>
              <w:jc w:val="center"/>
              <w:rPr>
                <w:rFonts w:ascii="宋体" w:hAnsi="宋体" w:cs="宋体"/>
                <w:snapToGrid w:val="0"/>
                <w:color w:val="000000"/>
                <w:kern w:val="2"/>
                <w:sz w:val="21"/>
                <w:szCs w:val="21"/>
              </w:rPr>
            </w:pPr>
            <w:r>
              <w:rPr>
                <w:rFonts w:hint="eastAsia" w:ascii="宋体" w:hAnsi="宋体" w:cs="宋体"/>
                <w:snapToGrid w:val="0"/>
                <w:color w:val="000000"/>
                <w:kern w:val="2"/>
                <w:sz w:val="21"/>
                <w:szCs w:val="21"/>
              </w:rPr>
              <w:t>4</w:t>
            </w:r>
          </w:p>
        </w:tc>
        <w:tc>
          <w:tcPr>
            <w:tcW w:w="3232" w:type="dxa"/>
            <w:vAlign w:val="center"/>
          </w:tcPr>
          <w:p>
            <w:pPr>
              <w:pStyle w:val="2"/>
              <w:spacing w:before="0" w:after="0" w:line="360" w:lineRule="auto"/>
              <w:jc w:val="center"/>
              <w:rPr>
                <w:rFonts w:ascii="宋体" w:hAnsi="宋体"/>
                <w:color w:val="000000"/>
              </w:rPr>
            </w:pPr>
            <w:r>
              <w:rPr>
                <w:rFonts w:hint="eastAsia"/>
                <w:b w:val="0"/>
                <w:bCs w:val="0"/>
                <w:sz w:val="22"/>
                <w:szCs w:val="22"/>
              </w:rPr>
              <w:t>国际贸易从业能力证书</w:t>
            </w:r>
          </w:p>
        </w:tc>
        <w:tc>
          <w:tcPr>
            <w:tcW w:w="2072" w:type="dxa"/>
            <w:vAlign w:val="center"/>
          </w:tcPr>
          <w:p>
            <w:pPr>
              <w:spacing w:after="0"/>
              <w:jc w:val="center"/>
              <w:rPr>
                <w:rFonts w:ascii="宋体" w:hAnsi="宋体" w:cs="宋体"/>
                <w:snapToGrid w:val="0"/>
                <w:color w:val="000000"/>
                <w:kern w:val="2"/>
                <w:sz w:val="21"/>
                <w:szCs w:val="21"/>
              </w:rPr>
            </w:pPr>
            <w:r>
              <w:rPr>
                <w:rFonts w:hint="eastAsia" w:ascii="宋体" w:hAnsi="宋体" w:cs="宋体"/>
                <w:snapToGrid w:val="0"/>
                <w:color w:val="000000"/>
                <w:kern w:val="2"/>
                <w:sz w:val="21"/>
                <w:szCs w:val="21"/>
              </w:rPr>
              <w:t>行业认证</w:t>
            </w:r>
          </w:p>
        </w:tc>
        <w:tc>
          <w:tcPr>
            <w:tcW w:w="2072" w:type="dxa"/>
            <w:vAlign w:val="center"/>
          </w:tcPr>
          <w:p>
            <w:pPr>
              <w:spacing w:after="0"/>
              <w:jc w:val="center"/>
              <w:rPr>
                <w:rFonts w:ascii="宋体" w:hAnsi="宋体"/>
                <w:color w:val="000000"/>
              </w:rPr>
            </w:pPr>
          </w:p>
        </w:tc>
        <w:tc>
          <w:tcPr>
            <w:tcW w:w="2396" w:type="dxa"/>
            <w:vAlign w:val="center"/>
          </w:tcPr>
          <w:p>
            <w:pPr>
              <w:spacing w:after="0"/>
              <w:jc w:val="center"/>
              <w:rPr>
                <w:rFonts w:ascii="宋体" w:hAnsi="宋体"/>
                <w:color w:val="000000"/>
              </w:rPr>
            </w:pPr>
            <w:r>
              <w:rPr>
                <w:rFonts w:hint="eastAsia" w:ascii="宋体" w:hAnsi="宋体"/>
                <w:color w:val="000000"/>
              </w:rPr>
              <w:t>2018年7月</w:t>
            </w:r>
          </w:p>
        </w:tc>
        <w:tc>
          <w:tcPr>
            <w:tcW w:w="2884" w:type="dxa"/>
            <w:vAlign w:val="center"/>
          </w:tcPr>
          <w:p>
            <w:pPr>
              <w:spacing w:after="0"/>
              <w:jc w:val="center"/>
            </w:pPr>
            <w:r>
              <w:rPr>
                <w:rFonts w:hint="eastAsia"/>
              </w:rPr>
              <w:t>石余凤、李小燕</w:t>
            </w:r>
          </w:p>
        </w:tc>
        <w:tc>
          <w:tcPr>
            <w:tcW w:w="94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3" w:hRule="atLeast"/>
        </w:trPr>
        <w:tc>
          <w:tcPr>
            <w:tcW w:w="917" w:type="dxa"/>
            <w:vAlign w:val="center"/>
          </w:tcPr>
          <w:p>
            <w:pPr>
              <w:widowControl w:val="0"/>
              <w:adjustRightInd/>
              <w:snapToGrid/>
              <w:spacing w:after="0" w:line="300" w:lineRule="exact"/>
              <w:jc w:val="center"/>
              <w:rPr>
                <w:rFonts w:ascii="宋体" w:hAnsi="宋体" w:cs="宋体"/>
                <w:snapToGrid w:val="0"/>
                <w:color w:val="000000"/>
                <w:kern w:val="2"/>
                <w:sz w:val="21"/>
                <w:szCs w:val="21"/>
              </w:rPr>
            </w:pPr>
            <w:r>
              <w:rPr>
                <w:rFonts w:hint="eastAsia" w:ascii="宋体" w:hAnsi="宋体" w:cs="宋体"/>
                <w:snapToGrid w:val="0"/>
                <w:color w:val="000000"/>
                <w:kern w:val="2"/>
                <w:sz w:val="21"/>
                <w:szCs w:val="21"/>
              </w:rPr>
              <w:t>5</w:t>
            </w:r>
          </w:p>
        </w:tc>
        <w:tc>
          <w:tcPr>
            <w:tcW w:w="3232" w:type="dxa"/>
            <w:vAlign w:val="center"/>
          </w:tcPr>
          <w:p>
            <w:pPr>
              <w:spacing w:after="0"/>
              <w:jc w:val="center"/>
              <w:rPr>
                <w:rFonts w:ascii="宋体" w:hAnsi="宋体"/>
                <w:color w:val="000000"/>
              </w:rPr>
            </w:pPr>
            <w:r>
              <w:rPr>
                <w:rFonts w:hint="eastAsia" w:ascii="宋体" w:hAnsi="宋体"/>
                <w:color w:val="000000"/>
              </w:rPr>
              <w:t>计算机二级MS Office高级应用合格证</w:t>
            </w:r>
          </w:p>
        </w:tc>
        <w:tc>
          <w:tcPr>
            <w:tcW w:w="2072" w:type="dxa"/>
            <w:vAlign w:val="center"/>
          </w:tcPr>
          <w:p>
            <w:pPr>
              <w:spacing w:after="0"/>
              <w:jc w:val="center"/>
              <w:rPr>
                <w:rFonts w:ascii="宋体" w:hAnsi="宋体" w:cs="宋体"/>
                <w:snapToGrid w:val="0"/>
                <w:color w:val="000000"/>
                <w:kern w:val="2"/>
                <w:sz w:val="21"/>
                <w:szCs w:val="21"/>
              </w:rPr>
            </w:pPr>
            <w:r>
              <w:rPr>
                <w:rFonts w:hint="eastAsia" w:ascii="宋体" w:hAnsi="宋体" w:cs="宋体"/>
                <w:snapToGrid w:val="0"/>
                <w:color w:val="000000"/>
                <w:kern w:val="2"/>
                <w:sz w:val="21"/>
                <w:szCs w:val="21"/>
              </w:rPr>
              <w:t>国家认证</w:t>
            </w:r>
          </w:p>
        </w:tc>
        <w:tc>
          <w:tcPr>
            <w:tcW w:w="2072" w:type="dxa"/>
            <w:vAlign w:val="center"/>
          </w:tcPr>
          <w:p>
            <w:pPr>
              <w:spacing w:after="0"/>
              <w:jc w:val="center"/>
              <w:rPr>
                <w:rFonts w:ascii="宋体" w:hAnsi="宋体"/>
                <w:color w:val="000000"/>
              </w:rPr>
            </w:pPr>
            <w:r>
              <w:rPr>
                <w:rFonts w:hint="eastAsia" w:ascii="宋体" w:hAnsi="宋体"/>
                <w:color w:val="000000"/>
              </w:rPr>
              <w:t>二级</w:t>
            </w:r>
          </w:p>
        </w:tc>
        <w:tc>
          <w:tcPr>
            <w:tcW w:w="2396" w:type="dxa"/>
            <w:vAlign w:val="center"/>
          </w:tcPr>
          <w:p>
            <w:pPr>
              <w:spacing w:after="0"/>
              <w:jc w:val="center"/>
              <w:rPr>
                <w:rFonts w:ascii="宋体" w:hAnsi="宋体"/>
                <w:color w:val="000000"/>
              </w:rPr>
            </w:pPr>
            <w:r>
              <w:rPr>
                <w:rFonts w:hint="eastAsia" w:ascii="宋体" w:hAnsi="宋体"/>
                <w:color w:val="000000"/>
              </w:rPr>
              <w:t>20</w:t>
            </w:r>
            <w:r>
              <w:rPr>
                <w:rFonts w:ascii="宋体" w:hAnsi="宋体"/>
                <w:color w:val="000000"/>
              </w:rPr>
              <w:t>20</w:t>
            </w:r>
            <w:r>
              <w:rPr>
                <w:rFonts w:hint="eastAsia" w:ascii="宋体" w:hAnsi="宋体"/>
                <w:color w:val="000000"/>
              </w:rPr>
              <w:t>年</w:t>
            </w:r>
            <w:r>
              <w:rPr>
                <w:rFonts w:ascii="宋体" w:hAnsi="宋体"/>
                <w:color w:val="000000"/>
              </w:rPr>
              <w:t>3</w:t>
            </w:r>
            <w:r>
              <w:rPr>
                <w:rFonts w:hint="eastAsia" w:ascii="宋体" w:hAnsi="宋体"/>
                <w:color w:val="000000"/>
              </w:rPr>
              <w:t>月</w:t>
            </w:r>
          </w:p>
        </w:tc>
        <w:tc>
          <w:tcPr>
            <w:tcW w:w="2884" w:type="dxa"/>
            <w:vAlign w:val="center"/>
          </w:tcPr>
          <w:p>
            <w:pPr>
              <w:tabs>
                <w:tab w:val="left" w:pos="569"/>
              </w:tabs>
              <w:spacing w:after="0"/>
              <w:jc w:val="center"/>
            </w:pPr>
            <w:r>
              <w:rPr>
                <w:rFonts w:hint="eastAsia"/>
              </w:rPr>
              <w:t>黄淦、欧阳森、陈科先、岑燕</w:t>
            </w:r>
          </w:p>
        </w:tc>
        <w:tc>
          <w:tcPr>
            <w:tcW w:w="94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0" w:hRule="atLeast"/>
        </w:trPr>
        <w:tc>
          <w:tcPr>
            <w:tcW w:w="917" w:type="dxa"/>
            <w:vAlign w:val="center"/>
          </w:tcPr>
          <w:p>
            <w:pPr>
              <w:widowControl w:val="0"/>
              <w:adjustRightInd/>
              <w:snapToGrid/>
              <w:spacing w:after="0" w:line="300" w:lineRule="exact"/>
              <w:jc w:val="center"/>
              <w:rPr>
                <w:rFonts w:ascii="宋体" w:hAnsi="宋体" w:cs="宋体"/>
                <w:snapToGrid w:val="0"/>
                <w:color w:val="000000"/>
                <w:kern w:val="2"/>
                <w:sz w:val="21"/>
                <w:szCs w:val="21"/>
              </w:rPr>
            </w:pPr>
            <w:r>
              <w:rPr>
                <w:rFonts w:hint="eastAsia" w:ascii="宋体" w:hAnsi="宋体" w:cs="宋体"/>
                <w:snapToGrid w:val="0"/>
                <w:color w:val="000000"/>
                <w:kern w:val="2"/>
                <w:sz w:val="21"/>
                <w:szCs w:val="21"/>
              </w:rPr>
              <w:t>6</w:t>
            </w:r>
          </w:p>
        </w:tc>
        <w:tc>
          <w:tcPr>
            <w:tcW w:w="3232" w:type="dxa"/>
            <w:vAlign w:val="center"/>
          </w:tcPr>
          <w:p>
            <w:pPr>
              <w:spacing w:after="0"/>
              <w:jc w:val="center"/>
              <w:rPr>
                <w:rFonts w:ascii="宋体" w:hAnsi="宋体"/>
                <w:color w:val="000000"/>
              </w:rPr>
            </w:pPr>
            <w:r>
              <w:rPr>
                <w:rFonts w:hint="eastAsia" w:ascii="宋体" w:hAnsi="宋体"/>
                <w:color w:val="000000"/>
              </w:rPr>
              <w:t>计算机一级计算机基础及MS Office应用合格证</w:t>
            </w:r>
          </w:p>
        </w:tc>
        <w:tc>
          <w:tcPr>
            <w:tcW w:w="2072" w:type="dxa"/>
            <w:vAlign w:val="center"/>
          </w:tcPr>
          <w:p>
            <w:pPr>
              <w:spacing w:after="0"/>
              <w:jc w:val="center"/>
              <w:rPr>
                <w:rFonts w:ascii="宋体" w:hAnsi="宋体" w:cs="宋体"/>
                <w:snapToGrid w:val="0"/>
                <w:color w:val="000000"/>
                <w:kern w:val="2"/>
                <w:sz w:val="21"/>
                <w:szCs w:val="21"/>
              </w:rPr>
            </w:pPr>
            <w:r>
              <w:rPr>
                <w:rFonts w:hint="eastAsia" w:ascii="宋体" w:hAnsi="宋体" w:cs="宋体"/>
                <w:snapToGrid w:val="0"/>
                <w:color w:val="000000"/>
                <w:kern w:val="2"/>
                <w:sz w:val="21"/>
                <w:szCs w:val="21"/>
              </w:rPr>
              <w:t>国家认证</w:t>
            </w:r>
          </w:p>
        </w:tc>
        <w:tc>
          <w:tcPr>
            <w:tcW w:w="2072" w:type="dxa"/>
            <w:vAlign w:val="center"/>
          </w:tcPr>
          <w:p>
            <w:pPr>
              <w:spacing w:after="0"/>
              <w:jc w:val="center"/>
              <w:rPr>
                <w:rFonts w:ascii="宋体" w:hAnsi="宋体"/>
                <w:color w:val="000000"/>
              </w:rPr>
            </w:pPr>
            <w:r>
              <w:rPr>
                <w:rFonts w:hint="eastAsia" w:ascii="宋体" w:hAnsi="宋体"/>
                <w:color w:val="000000"/>
              </w:rPr>
              <w:t>一级</w:t>
            </w:r>
          </w:p>
        </w:tc>
        <w:tc>
          <w:tcPr>
            <w:tcW w:w="2396" w:type="dxa"/>
            <w:vAlign w:val="center"/>
          </w:tcPr>
          <w:p>
            <w:pPr>
              <w:spacing w:after="0"/>
              <w:jc w:val="center"/>
              <w:rPr>
                <w:rFonts w:ascii="宋体" w:hAnsi="宋体"/>
                <w:color w:val="000000"/>
              </w:rPr>
            </w:pPr>
            <w:r>
              <w:rPr>
                <w:rFonts w:hint="eastAsia" w:ascii="宋体" w:hAnsi="宋体"/>
                <w:color w:val="000000"/>
              </w:rPr>
              <w:t>2018年3月</w:t>
            </w:r>
          </w:p>
        </w:tc>
        <w:tc>
          <w:tcPr>
            <w:tcW w:w="2884" w:type="dxa"/>
            <w:vAlign w:val="center"/>
          </w:tcPr>
          <w:p>
            <w:pPr>
              <w:spacing w:after="0"/>
              <w:jc w:val="center"/>
            </w:pPr>
            <w:r>
              <w:rPr>
                <w:rFonts w:hint="eastAsia"/>
              </w:rPr>
              <w:t>马小燕、黄文玲、谢小三、黄颖怡、叶小慢、李秋、李乐华、冯彦玮</w:t>
            </w:r>
          </w:p>
        </w:tc>
        <w:tc>
          <w:tcPr>
            <w:tcW w:w="94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0" w:hRule="atLeast"/>
        </w:trPr>
        <w:tc>
          <w:tcPr>
            <w:tcW w:w="917" w:type="dxa"/>
            <w:vAlign w:val="center"/>
          </w:tcPr>
          <w:p>
            <w:pPr>
              <w:widowControl w:val="0"/>
              <w:adjustRightInd/>
              <w:snapToGrid/>
              <w:spacing w:after="0" w:line="300" w:lineRule="exact"/>
              <w:jc w:val="center"/>
              <w:rPr>
                <w:rFonts w:hint="eastAsia" w:ascii="宋体" w:hAnsi="宋体" w:cs="宋体"/>
                <w:snapToGrid w:val="0"/>
                <w:color w:val="000000"/>
                <w:kern w:val="2"/>
                <w:sz w:val="21"/>
                <w:szCs w:val="21"/>
              </w:rPr>
            </w:pPr>
            <w:r>
              <w:rPr>
                <w:rFonts w:hint="eastAsia" w:ascii="宋体" w:hAnsi="宋体" w:cs="宋体"/>
                <w:snapToGrid w:val="0"/>
                <w:color w:val="000000"/>
                <w:kern w:val="2"/>
                <w:sz w:val="21"/>
                <w:szCs w:val="21"/>
              </w:rPr>
              <w:t>7</w:t>
            </w:r>
          </w:p>
        </w:tc>
        <w:tc>
          <w:tcPr>
            <w:tcW w:w="3232" w:type="dxa"/>
            <w:vAlign w:val="center"/>
          </w:tcPr>
          <w:p>
            <w:pPr>
              <w:spacing w:after="0"/>
              <w:jc w:val="center"/>
              <w:rPr>
                <w:rFonts w:hint="eastAsia" w:ascii="宋体" w:hAnsi="宋体"/>
                <w:color w:val="000000"/>
              </w:rPr>
            </w:pPr>
            <w:r>
              <w:rPr>
                <w:rFonts w:hint="eastAsia" w:ascii="宋体" w:hAnsi="宋体"/>
                <w:color w:val="000000"/>
              </w:rPr>
              <w:t>计算机二级MS Office高级应用合格证</w:t>
            </w:r>
          </w:p>
        </w:tc>
        <w:tc>
          <w:tcPr>
            <w:tcW w:w="2072" w:type="dxa"/>
            <w:vAlign w:val="center"/>
          </w:tcPr>
          <w:p>
            <w:pPr>
              <w:spacing w:after="0"/>
              <w:jc w:val="center"/>
              <w:rPr>
                <w:rFonts w:hint="eastAsia" w:ascii="宋体" w:hAnsi="宋体" w:cs="宋体"/>
                <w:snapToGrid w:val="0"/>
                <w:color w:val="000000"/>
                <w:kern w:val="2"/>
                <w:sz w:val="21"/>
                <w:szCs w:val="21"/>
              </w:rPr>
            </w:pPr>
            <w:r>
              <w:rPr>
                <w:rFonts w:hint="eastAsia" w:ascii="宋体" w:hAnsi="宋体" w:cs="宋体"/>
                <w:snapToGrid w:val="0"/>
                <w:color w:val="000000"/>
                <w:kern w:val="2"/>
                <w:sz w:val="21"/>
                <w:szCs w:val="21"/>
              </w:rPr>
              <w:t>国家认证</w:t>
            </w:r>
          </w:p>
        </w:tc>
        <w:tc>
          <w:tcPr>
            <w:tcW w:w="2072" w:type="dxa"/>
            <w:vAlign w:val="center"/>
          </w:tcPr>
          <w:p>
            <w:pPr>
              <w:spacing w:after="0"/>
              <w:jc w:val="center"/>
              <w:rPr>
                <w:rFonts w:hint="eastAsia" w:ascii="宋体" w:hAnsi="宋体"/>
                <w:color w:val="000000"/>
              </w:rPr>
            </w:pPr>
            <w:r>
              <w:rPr>
                <w:rFonts w:hint="eastAsia" w:ascii="宋体" w:hAnsi="宋体"/>
                <w:color w:val="000000"/>
              </w:rPr>
              <w:t>二级</w:t>
            </w:r>
          </w:p>
        </w:tc>
        <w:tc>
          <w:tcPr>
            <w:tcW w:w="2396" w:type="dxa"/>
            <w:vAlign w:val="center"/>
          </w:tcPr>
          <w:p>
            <w:pPr>
              <w:spacing w:after="0"/>
              <w:jc w:val="center"/>
              <w:rPr>
                <w:rFonts w:hint="eastAsia" w:ascii="宋体" w:hAnsi="宋体"/>
                <w:color w:val="000000"/>
              </w:rPr>
            </w:pPr>
            <w:r>
              <w:rPr>
                <w:rFonts w:hint="eastAsia" w:ascii="宋体" w:hAnsi="宋体"/>
                <w:color w:val="000000"/>
              </w:rPr>
              <w:t>20</w:t>
            </w:r>
            <w:r>
              <w:rPr>
                <w:rFonts w:ascii="宋体" w:hAnsi="宋体"/>
                <w:color w:val="000000"/>
              </w:rPr>
              <w:t>20</w:t>
            </w:r>
            <w:r>
              <w:rPr>
                <w:rFonts w:hint="eastAsia" w:ascii="宋体" w:hAnsi="宋体"/>
                <w:color w:val="000000"/>
              </w:rPr>
              <w:t>年9月</w:t>
            </w:r>
          </w:p>
        </w:tc>
        <w:tc>
          <w:tcPr>
            <w:tcW w:w="2884" w:type="dxa"/>
            <w:vAlign w:val="center"/>
          </w:tcPr>
          <w:p>
            <w:pPr>
              <w:spacing w:after="0"/>
              <w:jc w:val="center"/>
              <w:rPr>
                <w:rFonts w:hint="eastAsia"/>
              </w:rPr>
            </w:pPr>
            <w:r>
              <w:rPr>
                <w:rFonts w:hint="eastAsia"/>
              </w:rPr>
              <w:t>何欣隋</w:t>
            </w:r>
          </w:p>
        </w:tc>
        <w:tc>
          <w:tcPr>
            <w:tcW w:w="94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0" w:hRule="atLeast"/>
        </w:trPr>
        <w:tc>
          <w:tcPr>
            <w:tcW w:w="917" w:type="dxa"/>
            <w:vAlign w:val="center"/>
          </w:tcPr>
          <w:p>
            <w:pPr>
              <w:widowControl w:val="0"/>
              <w:adjustRightInd/>
              <w:snapToGrid/>
              <w:spacing w:after="0" w:line="300" w:lineRule="exact"/>
              <w:jc w:val="center"/>
              <w:rPr>
                <w:rFonts w:hint="eastAsia" w:ascii="宋体" w:hAnsi="宋体" w:cs="宋体"/>
                <w:snapToGrid w:val="0"/>
                <w:color w:val="000000"/>
                <w:kern w:val="2"/>
                <w:sz w:val="21"/>
                <w:szCs w:val="21"/>
              </w:rPr>
            </w:pPr>
            <w:r>
              <w:rPr>
                <w:rFonts w:hint="eastAsia" w:ascii="宋体" w:hAnsi="宋体" w:cs="宋体"/>
                <w:snapToGrid w:val="0"/>
                <w:color w:val="000000"/>
                <w:kern w:val="2"/>
                <w:sz w:val="21"/>
                <w:szCs w:val="21"/>
              </w:rPr>
              <w:t>8</w:t>
            </w:r>
          </w:p>
        </w:tc>
        <w:tc>
          <w:tcPr>
            <w:tcW w:w="3232" w:type="dxa"/>
            <w:vAlign w:val="center"/>
          </w:tcPr>
          <w:p>
            <w:pPr>
              <w:spacing w:after="0"/>
              <w:jc w:val="center"/>
              <w:rPr>
                <w:rFonts w:hint="eastAsia" w:ascii="宋体" w:hAnsi="宋体"/>
                <w:color w:val="000000"/>
              </w:rPr>
            </w:pPr>
            <w:r>
              <w:rPr>
                <w:rFonts w:hint="eastAsia" w:ascii="宋体" w:hAnsi="宋体"/>
                <w:color w:val="000000"/>
              </w:rPr>
              <w:t>计算机一级计算机基础及MS Office应用合格证</w:t>
            </w:r>
          </w:p>
        </w:tc>
        <w:tc>
          <w:tcPr>
            <w:tcW w:w="2072" w:type="dxa"/>
            <w:vAlign w:val="center"/>
          </w:tcPr>
          <w:p>
            <w:pPr>
              <w:spacing w:after="0"/>
              <w:jc w:val="center"/>
              <w:rPr>
                <w:rFonts w:hint="eastAsia" w:ascii="宋体" w:hAnsi="宋体" w:cs="宋体"/>
                <w:snapToGrid w:val="0"/>
                <w:color w:val="000000"/>
                <w:kern w:val="2"/>
                <w:sz w:val="21"/>
                <w:szCs w:val="21"/>
              </w:rPr>
            </w:pPr>
            <w:r>
              <w:rPr>
                <w:rFonts w:hint="eastAsia" w:ascii="宋体" w:hAnsi="宋体" w:cs="宋体"/>
                <w:snapToGrid w:val="0"/>
                <w:color w:val="000000"/>
                <w:kern w:val="2"/>
                <w:sz w:val="21"/>
                <w:szCs w:val="21"/>
              </w:rPr>
              <w:t>国家认证</w:t>
            </w:r>
          </w:p>
        </w:tc>
        <w:tc>
          <w:tcPr>
            <w:tcW w:w="2072" w:type="dxa"/>
            <w:vAlign w:val="center"/>
          </w:tcPr>
          <w:p>
            <w:pPr>
              <w:spacing w:after="0"/>
              <w:jc w:val="center"/>
              <w:rPr>
                <w:rFonts w:hint="eastAsia" w:ascii="宋体" w:hAnsi="宋体"/>
                <w:color w:val="000000"/>
              </w:rPr>
            </w:pPr>
            <w:r>
              <w:rPr>
                <w:rFonts w:hint="eastAsia" w:ascii="宋体" w:hAnsi="宋体"/>
                <w:color w:val="000000"/>
              </w:rPr>
              <w:t>一级</w:t>
            </w:r>
          </w:p>
        </w:tc>
        <w:tc>
          <w:tcPr>
            <w:tcW w:w="2396" w:type="dxa"/>
            <w:vAlign w:val="center"/>
          </w:tcPr>
          <w:p>
            <w:pPr>
              <w:spacing w:after="0"/>
              <w:jc w:val="center"/>
              <w:rPr>
                <w:rFonts w:hint="eastAsia" w:ascii="宋体" w:hAnsi="宋体"/>
                <w:color w:val="000000"/>
              </w:rPr>
            </w:pPr>
            <w:r>
              <w:rPr>
                <w:rFonts w:hint="eastAsia" w:ascii="宋体" w:hAnsi="宋体"/>
                <w:color w:val="000000"/>
              </w:rPr>
              <w:t>2020年9月</w:t>
            </w:r>
          </w:p>
        </w:tc>
        <w:tc>
          <w:tcPr>
            <w:tcW w:w="2884" w:type="dxa"/>
            <w:vAlign w:val="center"/>
          </w:tcPr>
          <w:p>
            <w:pPr>
              <w:spacing w:after="0"/>
              <w:jc w:val="center"/>
              <w:rPr>
                <w:rFonts w:hint="eastAsia"/>
              </w:rPr>
            </w:pPr>
            <w:r>
              <w:rPr>
                <w:rFonts w:hint="eastAsia"/>
              </w:rPr>
              <w:t>刘舒琪，李家燕，郑彩虹</w:t>
            </w:r>
          </w:p>
        </w:tc>
        <w:tc>
          <w:tcPr>
            <w:tcW w:w="94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bl>
    <w:p>
      <w:pPr>
        <w:widowControl w:val="0"/>
        <w:adjustRightInd/>
        <w:snapToGrid/>
        <w:spacing w:after="0" w:line="300" w:lineRule="exact"/>
      </w:pPr>
      <w:r>
        <w:rPr>
          <w:rFonts w:ascii="Times New Roman" w:hAnsi="Times New Roman" w:eastAsia="仿宋"/>
          <w:snapToGrid w:val="0"/>
          <w:color w:val="000000"/>
          <w:kern w:val="2"/>
          <w:sz w:val="24"/>
          <w:szCs w:val="24"/>
        </w:rPr>
        <w:t>注：证书类型：国家认证、行业认证、企业认证</w:t>
      </w:r>
      <w:r>
        <w:rPr>
          <w:rFonts w:hint="eastAsia" w:ascii="Times New Roman" w:hAnsi="Times New Roman" w:eastAsia="仿宋"/>
          <w:snapToGrid w:val="0"/>
          <w:color w:val="000000"/>
          <w:kern w:val="2"/>
          <w:sz w:val="24"/>
          <w:szCs w:val="24"/>
        </w:rPr>
        <w:t>。</w:t>
      </w:r>
    </w:p>
    <w:sectPr>
      <w:footerReference r:id="rId3" w:type="default"/>
      <w:type w:val="continuous"/>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0554228"/>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8B03"/>
    <w:multiLevelType w:val="singleLevel"/>
    <w:tmpl w:val="1C438B03"/>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502CBE"/>
    <w:rsid w:val="00001FC6"/>
    <w:rsid w:val="0001214D"/>
    <w:rsid w:val="00014164"/>
    <w:rsid w:val="00014AFF"/>
    <w:rsid w:val="00021626"/>
    <w:rsid w:val="00024221"/>
    <w:rsid w:val="000349E1"/>
    <w:rsid w:val="00036F47"/>
    <w:rsid w:val="00043BAF"/>
    <w:rsid w:val="00057BB0"/>
    <w:rsid w:val="00063AB2"/>
    <w:rsid w:val="0008097A"/>
    <w:rsid w:val="00090659"/>
    <w:rsid w:val="000926F2"/>
    <w:rsid w:val="000A1B5A"/>
    <w:rsid w:val="000A6FE7"/>
    <w:rsid w:val="000B7B35"/>
    <w:rsid w:val="000C0EAE"/>
    <w:rsid w:val="000D21F2"/>
    <w:rsid w:val="000D5E38"/>
    <w:rsid w:val="000E015E"/>
    <w:rsid w:val="000E64CD"/>
    <w:rsid w:val="000F3289"/>
    <w:rsid w:val="000F3352"/>
    <w:rsid w:val="00103C00"/>
    <w:rsid w:val="001063B2"/>
    <w:rsid w:val="0011702D"/>
    <w:rsid w:val="001266BB"/>
    <w:rsid w:val="001423D3"/>
    <w:rsid w:val="00143F37"/>
    <w:rsid w:val="00154EBD"/>
    <w:rsid w:val="00161AD2"/>
    <w:rsid w:val="00171521"/>
    <w:rsid w:val="00186394"/>
    <w:rsid w:val="00192C66"/>
    <w:rsid w:val="00196FC3"/>
    <w:rsid w:val="001A277A"/>
    <w:rsid w:val="001D6B61"/>
    <w:rsid w:val="002074F3"/>
    <w:rsid w:val="00215E3E"/>
    <w:rsid w:val="00216C16"/>
    <w:rsid w:val="002205D9"/>
    <w:rsid w:val="00256D9B"/>
    <w:rsid w:val="0026728E"/>
    <w:rsid w:val="00271B65"/>
    <w:rsid w:val="00281D23"/>
    <w:rsid w:val="00282874"/>
    <w:rsid w:val="0028768F"/>
    <w:rsid w:val="002A789F"/>
    <w:rsid w:val="002A7D82"/>
    <w:rsid w:val="002B069F"/>
    <w:rsid w:val="002B0922"/>
    <w:rsid w:val="002C3ADC"/>
    <w:rsid w:val="002C55F6"/>
    <w:rsid w:val="002C58BA"/>
    <w:rsid w:val="002C6BAF"/>
    <w:rsid w:val="002C7F0F"/>
    <w:rsid w:val="002D22C2"/>
    <w:rsid w:val="002E352D"/>
    <w:rsid w:val="002E361B"/>
    <w:rsid w:val="002E617D"/>
    <w:rsid w:val="002F0732"/>
    <w:rsid w:val="002F20D9"/>
    <w:rsid w:val="002F3B72"/>
    <w:rsid w:val="003012DE"/>
    <w:rsid w:val="003120C4"/>
    <w:rsid w:val="00335671"/>
    <w:rsid w:val="00344982"/>
    <w:rsid w:val="00346F3F"/>
    <w:rsid w:val="00350341"/>
    <w:rsid w:val="00366758"/>
    <w:rsid w:val="00370574"/>
    <w:rsid w:val="0038285C"/>
    <w:rsid w:val="00392F37"/>
    <w:rsid w:val="00393D90"/>
    <w:rsid w:val="00396E08"/>
    <w:rsid w:val="00397512"/>
    <w:rsid w:val="003A0289"/>
    <w:rsid w:val="003A7AE4"/>
    <w:rsid w:val="003B2627"/>
    <w:rsid w:val="003B43E6"/>
    <w:rsid w:val="003C5C89"/>
    <w:rsid w:val="003D4699"/>
    <w:rsid w:val="003D492A"/>
    <w:rsid w:val="003E6DAF"/>
    <w:rsid w:val="00401576"/>
    <w:rsid w:val="004038A1"/>
    <w:rsid w:val="004051AD"/>
    <w:rsid w:val="00407A2D"/>
    <w:rsid w:val="0042122F"/>
    <w:rsid w:val="00433612"/>
    <w:rsid w:val="0044500C"/>
    <w:rsid w:val="004575CB"/>
    <w:rsid w:val="00467A51"/>
    <w:rsid w:val="00477BA1"/>
    <w:rsid w:val="0048177F"/>
    <w:rsid w:val="00481CA8"/>
    <w:rsid w:val="00485EF1"/>
    <w:rsid w:val="0049131E"/>
    <w:rsid w:val="00497098"/>
    <w:rsid w:val="004A2E3D"/>
    <w:rsid w:val="004B58E8"/>
    <w:rsid w:val="004C2513"/>
    <w:rsid w:val="004D2881"/>
    <w:rsid w:val="004E332A"/>
    <w:rsid w:val="004E3F1B"/>
    <w:rsid w:val="004F3DED"/>
    <w:rsid w:val="0050520B"/>
    <w:rsid w:val="00513488"/>
    <w:rsid w:val="005327FF"/>
    <w:rsid w:val="00542044"/>
    <w:rsid w:val="00546550"/>
    <w:rsid w:val="00554DF3"/>
    <w:rsid w:val="005577A4"/>
    <w:rsid w:val="0056264B"/>
    <w:rsid w:val="00566B8A"/>
    <w:rsid w:val="0056775B"/>
    <w:rsid w:val="00573A72"/>
    <w:rsid w:val="0059321B"/>
    <w:rsid w:val="005960EF"/>
    <w:rsid w:val="00597F45"/>
    <w:rsid w:val="005B7B18"/>
    <w:rsid w:val="005C0A2D"/>
    <w:rsid w:val="005F77EC"/>
    <w:rsid w:val="0064182F"/>
    <w:rsid w:val="00643568"/>
    <w:rsid w:val="00653E34"/>
    <w:rsid w:val="00661233"/>
    <w:rsid w:val="006713E0"/>
    <w:rsid w:val="00672484"/>
    <w:rsid w:val="00677777"/>
    <w:rsid w:val="00677E3A"/>
    <w:rsid w:val="0068622F"/>
    <w:rsid w:val="006873FB"/>
    <w:rsid w:val="006B1B0C"/>
    <w:rsid w:val="006B78D4"/>
    <w:rsid w:val="006C3663"/>
    <w:rsid w:val="006C469B"/>
    <w:rsid w:val="006D0B9A"/>
    <w:rsid w:val="006D5834"/>
    <w:rsid w:val="006F6ADE"/>
    <w:rsid w:val="0070123C"/>
    <w:rsid w:val="00711753"/>
    <w:rsid w:val="0071647B"/>
    <w:rsid w:val="00720330"/>
    <w:rsid w:val="00730A0F"/>
    <w:rsid w:val="00734E21"/>
    <w:rsid w:val="007462BA"/>
    <w:rsid w:val="007837B6"/>
    <w:rsid w:val="007B11D6"/>
    <w:rsid w:val="007C417F"/>
    <w:rsid w:val="007C43E0"/>
    <w:rsid w:val="007D13EE"/>
    <w:rsid w:val="007D4BF6"/>
    <w:rsid w:val="007D5229"/>
    <w:rsid w:val="007E5A52"/>
    <w:rsid w:val="007F0017"/>
    <w:rsid w:val="007F77AC"/>
    <w:rsid w:val="00802FEB"/>
    <w:rsid w:val="00803766"/>
    <w:rsid w:val="00851FFD"/>
    <w:rsid w:val="00853630"/>
    <w:rsid w:val="008549FE"/>
    <w:rsid w:val="0087369C"/>
    <w:rsid w:val="0088086A"/>
    <w:rsid w:val="008A1B95"/>
    <w:rsid w:val="008C6476"/>
    <w:rsid w:val="008E1527"/>
    <w:rsid w:val="008E591B"/>
    <w:rsid w:val="008E596C"/>
    <w:rsid w:val="008F6B8E"/>
    <w:rsid w:val="00913A83"/>
    <w:rsid w:val="00922FFE"/>
    <w:rsid w:val="00926DA3"/>
    <w:rsid w:val="00941EEE"/>
    <w:rsid w:val="009440C1"/>
    <w:rsid w:val="00965AE5"/>
    <w:rsid w:val="00965B46"/>
    <w:rsid w:val="009673DF"/>
    <w:rsid w:val="009B4ABB"/>
    <w:rsid w:val="009C2886"/>
    <w:rsid w:val="009C4DD1"/>
    <w:rsid w:val="009D465E"/>
    <w:rsid w:val="009E66EC"/>
    <w:rsid w:val="009F09DE"/>
    <w:rsid w:val="00A1462C"/>
    <w:rsid w:val="00A348AC"/>
    <w:rsid w:val="00A46F3C"/>
    <w:rsid w:val="00A504BD"/>
    <w:rsid w:val="00A53DBB"/>
    <w:rsid w:val="00A552A9"/>
    <w:rsid w:val="00A556A3"/>
    <w:rsid w:val="00A64CB1"/>
    <w:rsid w:val="00A707C2"/>
    <w:rsid w:val="00A76DA8"/>
    <w:rsid w:val="00A95574"/>
    <w:rsid w:val="00A965C8"/>
    <w:rsid w:val="00A97991"/>
    <w:rsid w:val="00AC3364"/>
    <w:rsid w:val="00AC6F11"/>
    <w:rsid w:val="00AE0217"/>
    <w:rsid w:val="00AE0CE4"/>
    <w:rsid w:val="00AF3DA6"/>
    <w:rsid w:val="00AF6F4C"/>
    <w:rsid w:val="00B22C8F"/>
    <w:rsid w:val="00B23C01"/>
    <w:rsid w:val="00B3461A"/>
    <w:rsid w:val="00B36988"/>
    <w:rsid w:val="00B567A5"/>
    <w:rsid w:val="00B669C6"/>
    <w:rsid w:val="00B67F36"/>
    <w:rsid w:val="00B76C47"/>
    <w:rsid w:val="00B83B80"/>
    <w:rsid w:val="00B8618D"/>
    <w:rsid w:val="00B90909"/>
    <w:rsid w:val="00B924EC"/>
    <w:rsid w:val="00B97904"/>
    <w:rsid w:val="00BB085B"/>
    <w:rsid w:val="00BB2C86"/>
    <w:rsid w:val="00BC2534"/>
    <w:rsid w:val="00BC2D48"/>
    <w:rsid w:val="00BC431A"/>
    <w:rsid w:val="00BD1D6C"/>
    <w:rsid w:val="00BE18D5"/>
    <w:rsid w:val="00BE2024"/>
    <w:rsid w:val="00BE68E5"/>
    <w:rsid w:val="00C16265"/>
    <w:rsid w:val="00C371A7"/>
    <w:rsid w:val="00C375F2"/>
    <w:rsid w:val="00C4164D"/>
    <w:rsid w:val="00C41D84"/>
    <w:rsid w:val="00C43E8B"/>
    <w:rsid w:val="00C606D8"/>
    <w:rsid w:val="00C6087A"/>
    <w:rsid w:val="00C712B6"/>
    <w:rsid w:val="00C81236"/>
    <w:rsid w:val="00C85A4A"/>
    <w:rsid w:val="00CA3192"/>
    <w:rsid w:val="00CC0A31"/>
    <w:rsid w:val="00CC17A8"/>
    <w:rsid w:val="00CC71EF"/>
    <w:rsid w:val="00CE2F5C"/>
    <w:rsid w:val="00CE7FE3"/>
    <w:rsid w:val="00CF1FC9"/>
    <w:rsid w:val="00CF6A60"/>
    <w:rsid w:val="00D03367"/>
    <w:rsid w:val="00D122F3"/>
    <w:rsid w:val="00D24FDC"/>
    <w:rsid w:val="00D32F06"/>
    <w:rsid w:val="00D34926"/>
    <w:rsid w:val="00D4432F"/>
    <w:rsid w:val="00D47A3A"/>
    <w:rsid w:val="00D54433"/>
    <w:rsid w:val="00D72305"/>
    <w:rsid w:val="00D7455E"/>
    <w:rsid w:val="00D76208"/>
    <w:rsid w:val="00D838B7"/>
    <w:rsid w:val="00D87BBE"/>
    <w:rsid w:val="00DA270E"/>
    <w:rsid w:val="00DC1519"/>
    <w:rsid w:val="00DC51AD"/>
    <w:rsid w:val="00DD2CE1"/>
    <w:rsid w:val="00DF64C0"/>
    <w:rsid w:val="00E047B7"/>
    <w:rsid w:val="00E11373"/>
    <w:rsid w:val="00E11D0C"/>
    <w:rsid w:val="00E30EB7"/>
    <w:rsid w:val="00E47C43"/>
    <w:rsid w:val="00E52F2A"/>
    <w:rsid w:val="00E56E56"/>
    <w:rsid w:val="00E66A0E"/>
    <w:rsid w:val="00E84A52"/>
    <w:rsid w:val="00EA54E8"/>
    <w:rsid w:val="00EA5A36"/>
    <w:rsid w:val="00EC122D"/>
    <w:rsid w:val="00EC792D"/>
    <w:rsid w:val="00ED3514"/>
    <w:rsid w:val="00EF54A5"/>
    <w:rsid w:val="00F00B49"/>
    <w:rsid w:val="00F05284"/>
    <w:rsid w:val="00F12B6B"/>
    <w:rsid w:val="00F25587"/>
    <w:rsid w:val="00F25734"/>
    <w:rsid w:val="00F53317"/>
    <w:rsid w:val="00F57688"/>
    <w:rsid w:val="00F66A28"/>
    <w:rsid w:val="00F67AEC"/>
    <w:rsid w:val="00F73A87"/>
    <w:rsid w:val="00F73F37"/>
    <w:rsid w:val="00F77997"/>
    <w:rsid w:val="00F90175"/>
    <w:rsid w:val="00F9093C"/>
    <w:rsid w:val="00FA1AB1"/>
    <w:rsid w:val="00FA1E9C"/>
    <w:rsid w:val="00FA551D"/>
    <w:rsid w:val="00FA6906"/>
    <w:rsid w:val="00FA75C1"/>
    <w:rsid w:val="00FB131A"/>
    <w:rsid w:val="00FB6F5F"/>
    <w:rsid w:val="00FC0051"/>
    <w:rsid w:val="00FD7590"/>
    <w:rsid w:val="00FF298E"/>
    <w:rsid w:val="00FF2D5A"/>
    <w:rsid w:val="03C30BD4"/>
    <w:rsid w:val="066854D8"/>
    <w:rsid w:val="066D6DD2"/>
    <w:rsid w:val="06C33D92"/>
    <w:rsid w:val="0E207547"/>
    <w:rsid w:val="131052BA"/>
    <w:rsid w:val="17993044"/>
    <w:rsid w:val="19502CBE"/>
    <w:rsid w:val="1A4E7272"/>
    <w:rsid w:val="1A790034"/>
    <w:rsid w:val="1D341D68"/>
    <w:rsid w:val="1DF8157A"/>
    <w:rsid w:val="1EDB19E1"/>
    <w:rsid w:val="21DC11CC"/>
    <w:rsid w:val="23AD2490"/>
    <w:rsid w:val="23B034A1"/>
    <w:rsid w:val="24441526"/>
    <w:rsid w:val="2BBD105A"/>
    <w:rsid w:val="2BBE0E1E"/>
    <w:rsid w:val="2DAF1CB1"/>
    <w:rsid w:val="304D2398"/>
    <w:rsid w:val="309B0FEE"/>
    <w:rsid w:val="30CA3AA9"/>
    <w:rsid w:val="381F4552"/>
    <w:rsid w:val="40494CFF"/>
    <w:rsid w:val="421D0598"/>
    <w:rsid w:val="49D33721"/>
    <w:rsid w:val="59BA7343"/>
    <w:rsid w:val="5FFF54DF"/>
    <w:rsid w:val="62B06588"/>
    <w:rsid w:val="657D4950"/>
    <w:rsid w:val="669133F2"/>
    <w:rsid w:val="68903563"/>
    <w:rsid w:val="69B82C69"/>
    <w:rsid w:val="72576022"/>
    <w:rsid w:val="759238B3"/>
    <w:rsid w:val="78542213"/>
    <w:rsid w:val="79847CC5"/>
    <w:rsid w:val="7A075F07"/>
    <w:rsid w:val="7AFE08A2"/>
    <w:rsid w:val="7B16308F"/>
    <w:rsid w:val="7DA30182"/>
    <w:rsid w:val="7EA403AC"/>
    <w:rsid w:val="7FD67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sz w:val="22"/>
      <w:szCs w:val="2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3"/>
    <w:uiPriority w:val="0"/>
    <w:pPr>
      <w:spacing w:after="0"/>
    </w:pPr>
    <w:rPr>
      <w:sz w:val="18"/>
      <w:szCs w:val="18"/>
    </w:rPr>
  </w:style>
  <w:style w:type="paragraph" w:styleId="4">
    <w:name w:val="footer"/>
    <w:basedOn w:val="1"/>
    <w:link w:val="12"/>
    <w:qFormat/>
    <w:uiPriority w:val="99"/>
    <w:pPr>
      <w:tabs>
        <w:tab w:val="center" w:pos="4153"/>
        <w:tab w:val="right" w:pos="8306"/>
      </w:tabs>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FollowedHyperlink"/>
    <w:basedOn w:val="8"/>
    <w:unhideWhenUsed/>
    <w:uiPriority w:val="99"/>
    <w:rPr>
      <w:color w:val="800080"/>
      <w:u w:val="single"/>
    </w:rPr>
  </w:style>
  <w:style w:type="character" w:styleId="10">
    <w:name w:val="Hyperlink"/>
    <w:basedOn w:val="8"/>
    <w:qFormat/>
    <w:uiPriority w:val="99"/>
    <w:rPr>
      <w:color w:val="000000"/>
      <w:u w:val="none"/>
    </w:rPr>
  </w:style>
  <w:style w:type="character" w:customStyle="1" w:styleId="11">
    <w:name w:val="Unresolved Mention"/>
    <w:basedOn w:val="8"/>
    <w:semiHidden/>
    <w:unhideWhenUsed/>
    <w:uiPriority w:val="99"/>
    <w:rPr>
      <w:color w:val="605E5C"/>
      <w:shd w:val="clear" w:color="auto" w:fill="E1DFDD"/>
    </w:rPr>
  </w:style>
  <w:style w:type="character" w:customStyle="1" w:styleId="12">
    <w:name w:val="页脚 字符"/>
    <w:basedOn w:val="8"/>
    <w:link w:val="4"/>
    <w:uiPriority w:val="99"/>
    <w:rPr>
      <w:rFonts w:ascii="Tahoma" w:hAnsi="Tahoma"/>
      <w:sz w:val="18"/>
      <w:szCs w:val="22"/>
    </w:rPr>
  </w:style>
  <w:style w:type="character" w:customStyle="1" w:styleId="13">
    <w:name w:val="批注框文本 字符"/>
    <w:basedOn w:val="8"/>
    <w:link w:val="3"/>
    <w:uiPriority w:val="0"/>
    <w:rPr>
      <w:rFonts w:ascii="Tahoma" w:hAnsi="Tahoma"/>
      <w:sz w:val="18"/>
      <w:szCs w:val="18"/>
    </w:rPr>
  </w:style>
  <w:style w:type="paragraph" w:customStyle="1" w:styleId="14">
    <w:name w:val="msonormal"/>
    <w:basedOn w:val="1"/>
    <w:uiPriority w:val="0"/>
    <w:pPr>
      <w:adjustRightInd/>
      <w:snapToGrid/>
      <w:spacing w:before="100" w:beforeAutospacing="1" w:after="100" w:afterAutospacing="1"/>
    </w:pPr>
    <w:rPr>
      <w:rFonts w:ascii="宋体" w:hAnsi="宋体" w:cs="宋体"/>
      <w:sz w:val="24"/>
      <w:szCs w:val="24"/>
    </w:rPr>
  </w:style>
  <w:style w:type="paragraph" w:customStyle="1" w:styleId="15">
    <w:name w:val="font5"/>
    <w:basedOn w:val="1"/>
    <w:uiPriority w:val="0"/>
    <w:pPr>
      <w:adjustRightInd/>
      <w:snapToGrid/>
      <w:spacing w:before="100" w:beforeAutospacing="1" w:after="100" w:afterAutospacing="1"/>
    </w:pPr>
    <w:rPr>
      <w:rFonts w:ascii="Times New Roman" w:hAnsi="Times New Roman"/>
      <w:color w:val="000000"/>
      <w:sz w:val="24"/>
      <w:szCs w:val="24"/>
    </w:rPr>
  </w:style>
  <w:style w:type="paragraph" w:customStyle="1" w:styleId="16">
    <w:name w:val="xl65"/>
    <w:basedOn w:val="1"/>
    <w:uiPriority w:val="0"/>
    <w:pPr>
      <w:pBdr>
        <w:bottom w:val="single" w:color="auto" w:sz="8" w:space="0"/>
        <w:right w:val="single" w:color="auto" w:sz="8" w:space="0"/>
      </w:pBdr>
      <w:adjustRightInd/>
      <w:snapToGrid/>
      <w:spacing w:before="100" w:beforeAutospacing="1" w:after="100" w:afterAutospacing="1"/>
      <w:jc w:val="center"/>
      <w:textAlignment w:val="center"/>
    </w:pPr>
    <w:rPr>
      <w:rFonts w:ascii="仿宋" w:hAnsi="仿宋" w:eastAsia="仿宋" w:cs="宋体"/>
      <w:sz w:val="24"/>
      <w:szCs w:val="24"/>
    </w:rPr>
  </w:style>
  <w:style w:type="paragraph" w:customStyle="1" w:styleId="17">
    <w:name w:val="xl66"/>
    <w:basedOn w:val="1"/>
    <w:uiPriority w:val="0"/>
    <w:pPr>
      <w:adjustRightInd/>
      <w:snapToGrid/>
      <w:spacing w:before="100" w:beforeAutospacing="1" w:after="100" w:afterAutospacing="1"/>
      <w:jc w:val="center"/>
      <w:textAlignment w:val="center"/>
    </w:pPr>
    <w:rPr>
      <w:rFonts w:ascii="仿宋" w:hAnsi="仿宋" w:eastAsia="仿宋" w:cs="宋体"/>
      <w:sz w:val="24"/>
      <w:szCs w:val="24"/>
    </w:rPr>
  </w:style>
  <w:style w:type="paragraph" w:customStyle="1" w:styleId="18">
    <w:name w:val="xl67"/>
    <w:basedOn w:val="1"/>
    <w:uiPriority w:val="0"/>
    <w:pPr>
      <w:pBdr>
        <w:top w:val="single" w:color="auto" w:sz="8" w:space="0"/>
        <w:left w:val="single" w:color="auto" w:sz="8" w:space="0"/>
        <w:right w:val="single" w:color="auto" w:sz="8" w:space="0"/>
      </w:pBdr>
      <w:adjustRightInd/>
      <w:snapToGrid/>
      <w:spacing w:before="100" w:beforeAutospacing="1" w:after="100" w:afterAutospacing="1"/>
      <w:jc w:val="center"/>
      <w:textAlignment w:val="center"/>
    </w:pPr>
    <w:rPr>
      <w:rFonts w:ascii="仿宋" w:hAnsi="仿宋" w:eastAsia="仿宋" w:cs="宋体"/>
      <w:sz w:val="24"/>
      <w:szCs w:val="24"/>
    </w:rPr>
  </w:style>
  <w:style w:type="paragraph" w:customStyle="1" w:styleId="19">
    <w:name w:val="xl68"/>
    <w:basedOn w:val="1"/>
    <w:uiPriority w:val="0"/>
    <w:pPr>
      <w:pBdr>
        <w:top w:val="single" w:color="auto" w:sz="8" w:space="0"/>
        <w:left w:val="single" w:color="auto" w:sz="8" w:space="0"/>
      </w:pBdr>
      <w:adjustRightInd/>
      <w:snapToGrid/>
      <w:spacing w:before="100" w:beforeAutospacing="1" w:after="100" w:afterAutospacing="1"/>
      <w:jc w:val="center"/>
      <w:textAlignment w:val="center"/>
    </w:pPr>
    <w:rPr>
      <w:rFonts w:ascii="仿宋" w:hAnsi="仿宋" w:eastAsia="仿宋" w:cs="宋体"/>
      <w:sz w:val="24"/>
      <w:szCs w:val="24"/>
    </w:rPr>
  </w:style>
  <w:style w:type="paragraph" w:customStyle="1" w:styleId="20">
    <w:name w:val="xl69"/>
    <w:basedOn w:val="1"/>
    <w:uiPriority w:val="0"/>
    <w:pPr>
      <w:pBdr>
        <w:top w:val="single" w:color="auto" w:sz="8" w:space="0"/>
        <w:bottom w:val="single" w:color="auto" w:sz="8" w:space="0"/>
      </w:pBdr>
      <w:adjustRightInd/>
      <w:snapToGrid/>
      <w:spacing w:before="100" w:beforeAutospacing="1" w:after="100" w:afterAutospacing="1"/>
      <w:jc w:val="center"/>
      <w:textAlignment w:val="center"/>
    </w:pPr>
    <w:rPr>
      <w:rFonts w:ascii="仿宋" w:hAnsi="仿宋" w:eastAsia="仿宋" w:cs="宋体"/>
      <w:sz w:val="24"/>
      <w:szCs w:val="24"/>
    </w:rPr>
  </w:style>
  <w:style w:type="paragraph" w:customStyle="1" w:styleId="21">
    <w:name w:val="xl70"/>
    <w:basedOn w:val="1"/>
    <w:qFormat/>
    <w:uiPriority w:val="0"/>
    <w:pPr>
      <w:pBdr>
        <w:top w:val="single" w:color="auto" w:sz="8" w:space="0"/>
        <w:bottom w:val="single" w:color="auto" w:sz="8" w:space="0"/>
        <w:right w:val="single" w:color="auto" w:sz="8" w:space="0"/>
      </w:pBdr>
      <w:adjustRightInd/>
      <w:snapToGrid/>
      <w:spacing w:before="100" w:beforeAutospacing="1" w:after="100" w:afterAutospacing="1"/>
      <w:jc w:val="center"/>
      <w:textAlignment w:val="center"/>
    </w:pPr>
    <w:rPr>
      <w:rFonts w:ascii="仿宋" w:hAnsi="仿宋" w:eastAsia="仿宋" w:cs="宋体"/>
      <w:sz w:val="24"/>
      <w:szCs w:val="24"/>
    </w:rPr>
  </w:style>
  <w:style w:type="paragraph" w:customStyle="1" w:styleId="22">
    <w:name w:val="xl71"/>
    <w:basedOn w:val="1"/>
    <w:qFormat/>
    <w:uiPriority w:val="0"/>
    <w:pPr>
      <w:pBdr>
        <w:top w:val="single" w:color="auto" w:sz="8" w:space="0"/>
        <w:left w:val="single" w:color="auto" w:sz="8" w:space="0"/>
        <w:bottom w:val="single" w:color="auto" w:sz="8" w:space="0"/>
      </w:pBdr>
      <w:adjustRightInd/>
      <w:snapToGrid/>
      <w:spacing w:before="100" w:beforeAutospacing="1" w:after="100" w:afterAutospacing="1"/>
      <w:jc w:val="center"/>
      <w:textAlignment w:val="center"/>
    </w:pPr>
    <w:rPr>
      <w:rFonts w:ascii="仿宋" w:hAnsi="仿宋" w:eastAsia="仿宋" w:cs="宋体"/>
      <w:sz w:val="24"/>
      <w:szCs w:val="24"/>
    </w:rPr>
  </w:style>
  <w:style w:type="paragraph" w:customStyle="1" w:styleId="23">
    <w:name w:val="xl72"/>
    <w:basedOn w:val="1"/>
    <w:qFormat/>
    <w:uiPriority w:val="0"/>
    <w:pPr>
      <w:pBdr>
        <w:left w:val="single" w:color="auto" w:sz="8" w:space="0"/>
        <w:bottom w:val="single" w:color="auto" w:sz="8" w:space="0"/>
        <w:right w:val="single" w:color="auto" w:sz="8" w:space="0"/>
      </w:pBdr>
      <w:adjustRightInd/>
      <w:snapToGrid/>
      <w:spacing w:before="100" w:beforeAutospacing="1" w:after="100" w:afterAutospacing="1"/>
      <w:jc w:val="center"/>
      <w:textAlignment w:val="center"/>
    </w:pPr>
    <w:rPr>
      <w:rFonts w:ascii="仿宋" w:hAnsi="仿宋" w:eastAsia="仿宋" w:cs="宋体"/>
      <w:sz w:val="24"/>
      <w:szCs w:val="24"/>
    </w:rPr>
  </w:style>
  <w:style w:type="paragraph" w:customStyle="1" w:styleId="24">
    <w:name w:val="xl73"/>
    <w:basedOn w:val="1"/>
    <w:qFormat/>
    <w:uiPriority w:val="0"/>
    <w:pPr>
      <w:pBdr>
        <w:left w:val="single" w:color="auto" w:sz="8" w:space="0"/>
        <w:bottom w:val="single" w:color="auto" w:sz="8" w:space="0"/>
      </w:pBdr>
      <w:adjustRightInd/>
      <w:snapToGrid/>
      <w:spacing w:before="100" w:beforeAutospacing="1" w:after="100" w:afterAutospacing="1"/>
      <w:jc w:val="center"/>
      <w:textAlignment w:val="center"/>
    </w:pPr>
    <w:rPr>
      <w:rFonts w:ascii="仿宋" w:hAnsi="仿宋" w:eastAsia="仿宋" w:cs="宋体"/>
      <w:sz w:val="24"/>
      <w:szCs w:val="24"/>
    </w:rPr>
  </w:style>
  <w:style w:type="paragraph" w:customStyle="1" w:styleId="25">
    <w:name w:val="xl74"/>
    <w:basedOn w:val="1"/>
    <w:qFormat/>
    <w:uiPriority w:val="0"/>
    <w:pPr>
      <w:pBdr>
        <w:bottom w:val="single" w:color="auto" w:sz="8" w:space="0"/>
        <w:right w:val="single" w:color="auto" w:sz="8" w:space="0"/>
      </w:pBdr>
      <w:adjustRightInd/>
      <w:snapToGrid/>
      <w:spacing w:before="100" w:beforeAutospacing="1" w:after="100" w:afterAutospacing="1"/>
      <w:jc w:val="center"/>
      <w:textAlignment w:val="center"/>
    </w:pPr>
    <w:rPr>
      <w:rFonts w:ascii="仿宋" w:hAnsi="仿宋" w:eastAsia="仿宋" w:cs="宋体"/>
      <w:sz w:val="24"/>
      <w:szCs w:val="24"/>
    </w:rPr>
  </w:style>
  <w:style w:type="paragraph" w:customStyle="1" w:styleId="26">
    <w:name w:val="xl75"/>
    <w:basedOn w:val="1"/>
    <w:qFormat/>
    <w:uiPriority w:val="0"/>
    <w:pPr>
      <w:pBdr>
        <w:top w:val="single" w:color="auto" w:sz="8" w:space="0"/>
        <w:left w:val="single" w:color="auto" w:sz="8" w:space="0"/>
        <w:bottom w:val="single" w:color="auto" w:sz="8" w:space="0"/>
        <w:right w:val="single" w:color="auto" w:sz="8" w:space="0"/>
      </w:pBdr>
      <w:adjustRightInd/>
      <w:snapToGrid/>
      <w:spacing w:before="100" w:beforeAutospacing="1" w:after="100" w:afterAutospacing="1"/>
      <w:jc w:val="center"/>
      <w:textAlignment w:val="center"/>
    </w:pPr>
    <w:rPr>
      <w:rFonts w:ascii="仿宋" w:hAnsi="仿宋" w:eastAsia="仿宋" w:cs="宋体"/>
      <w:sz w:val="24"/>
      <w:szCs w:val="24"/>
    </w:rPr>
  </w:style>
  <w:style w:type="paragraph" w:customStyle="1" w:styleId="27">
    <w:name w:val="xl76"/>
    <w:basedOn w:val="1"/>
    <w:qFormat/>
    <w:uiPriority w:val="0"/>
    <w:pPr>
      <w:pBdr>
        <w:top w:val="single" w:color="auto" w:sz="8" w:space="0"/>
        <w:bottom w:val="single" w:color="auto" w:sz="8" w:space="0"/>
        <w:right w:val="single" w:color="auto" w:sz="8" w:space="0"/>
      </w:pBdr>
      <w:adjustRightInd/>
      <w:snapToGrid/>
      <w:spacing w:before="100" w:beforeAutospacing="1" w:after="100" w:afterAutospacing="1"/>
      <w:jc w:val="center"/>
      <w:textAlignment w:val="center"/>
    </w:pPr>
    <w:rPr>
      <w:rFonts w:ascii="仿宋" w:hAnsi="仿宋" w:eastAsia="仿宋" w:cs="宋体"/>
      <w:sz w:val="24"/>
      <w:szCs w:val="24"/>
    </w:rPr>
  </w:style>
  <w:style w:type="paragraph" w:customStyle="1" w:styleId="28">
    <w:name w:val="xl77"/>
    <w:basedOn w:val="1"/>
    <w:qFormat/>
    <w:uiPriority w:val="0"/>
    <w:pPr>
      <w:pBdr>
        <w:top w:val="single" w:color="auto" w:sz="8" w:space="0"/>
        <w:left w:val="single" w:color="auto" w:sz="8" w:space="0"/>
        <w:bottom w:val="single" w:color="auto" w:sz="8" w:space="0"/>
        <w:right w:val="single" w:color="auto" w:sz="8" w:space="0"/>
      </w:pBdr>
      <w:adjustRightInd/>
      <w:snapToGrid/>
      <w:spacing w:before="100" w:beforeAutospacing="1" w:after="100" w:afterAutospacing="1"/>
      <w:jc w:val="center"/>
      <w:textAlignment w:val="center"/>
    </w:pPr>
    <w:rPr>
      <w:rFonts w:ascii="仿宋" w:hAnsi="仿宋" w:eastAsia="仿宋" w:cs="宋体"/>
      <w:sz w:val="24"/>
      <w:szCs w:val="24"/>
    </w:rPr>
  </w:style>
  <w:style w:type="paragraph" w:customStyle="1" w:styleId="29">
    <w:name w:val="xl78"/>
    <w:basedOn w:val="1"/>
    <w:qFormat/>
    <w:uiPriority w:val="0"/>
    <w:pPr>
      <w:pBdr>
        <w:left w:val="single" w:color="auto" w:sz="8" w:space="0"/>
        <w:bottom w:val="single" w:color="auto" w:sz="8" w:space="0"/>
        <w:right w:val="single" w:color="auto" w:sz="8" w:space="0"/>
      </w:pBdr>
      <w:adjustRightInd/>
      <w:snapToGrid/>
      <w:spacing w:before="100" w:beforeAutospacing="1" w:after="100" w:afterAutospacing="1"/>
      <w:textAlignment w:val="center"/>
    </w:pPr>
    <w:rPr>
      <w:rFonts w:ascii="仿宋" w:hAnsi="仿宋" w:eastAsia="仿宋" w:cs="宋体"/>
      <w:sz w:val="24"/>
      <w:szCs w:val="24"/>
    </w:rPr>
  </w:style>
  <w:style w:type="paragraph" w:customStyle="1" w:styleId="30">
    <w:name w:val="xl79"/>
    <w:basedOn w:val="1"/>
    <w:qFormat/>
    <w:uiPriority w:val="0"/>
    <w:pPr>
      <w:pBdr>
        <w:left w:val="single" w:color="auto" w:sz="8" w:space="0"/>
        <w:bottom w:val="single" w:color="auto" w:sz="8" w:space="0"/>
        <w:right w:val="single" w:color="auto" w:sz="8" w:space="0"/>
      </w:pBdr>
      <w:adjustRightInd/>
      <w:snapToGrid/>
      <w:spacing w:before="100" w:beforeAutospacing="1" w:after="100" w:afterAutospacing="1"/>
      <w:jc w:val="center"/>
      <w:textAlignment w:val="center"/>
    </w:pPr>
    <w:rPr>
      <w:rFonts w:ascii="仿宋" w:hAnsi="仿宋" w:eastAsia="仿宋" w:cs="宋体"/>
      <w:sz w:val="24"/>
      <w:szCs w:val="24"/>
    </w:rPr>
  </w:style>
  <w:style w:type="paragraph" w:customStyle="1" w:styleId="31">
    <w:name w:val="xl80"/>
    <w:basedOn w:val="1"/>
    <w:qFormat/>
    <w:uiPriority w:val="0"/>
    <w:pPr>
      <w:pBdr>
        <w:bottom w:val="single" w:color="auto" w:sz="8" w:space="0"/>
        <w:right w:val="single" w:color="auto" w:sz="8" w:space="0"/>
      </w:pBdr>
      <w:adjustRightInd/>
      <w:snapToGrid/>
      <w:spacing w:before="100" w:beforeAutospacing="1" w:after="100" w:afterAutospacing="1"/>
      <w:jc w:val="center"/>
      <w:textAlignment w:val="center"/>
    </w:pPr>
    <w:rPr>
      <w:rFonts w:ascii="宋体" w:hAnsi="宋体" w:cs="宋体"/>
      <w:sz w:val="24"/>
      <w:szCs w:val="24"/>
    </w:rPr>
  </w:style>
  <w:style w:type="paragraph" w:customStyle="1" w:styleId="32">
    <w:name w:val="xl81"/>
    <w:basedOn w:val="1"/>
    <w:uiPriority w:val="0"/>
    <w:pPr>
      <w:pBdr>
        <w:bottom w:val="single" w:color="auto" w:sz="8" w:space="0"/>
        <w:right w:val="single" w:color="auto" w:sz="8" w:space="0"/>
      </w:pBdr>
      <w:adjustRightInd/>
      <w:snapToGrid/>
      <w:spacing w:before="100" w:beforeAutospacing="1" w:after="100" w:afterAutospacing="1"/>
      <w:jc w:val="center"/>
      <w:textAlignment w:val="center"/>
    </w:pPr>
    <w:rPr>
      <w:rFonts w:ascii="仿宋" w:hAnsi="仿宋" w:eastAsia="仿宋" w:cs="宋体"/>
      <w:sz w:val="24"/>
      <w:szCs w:val="24"/>
    </w:rPr>
  </w:style>
  <w:style w:type="paragraph" w:customStyle="1" w:styleId="33">
    <w:name w:val="xl82"/>
    <w:basedOn w:val="1"/>
    <w:qFormat/>
    <w:uiPriority w:val="0"/>
    <w:pPr>
      <w:pBdr>
        <w:right w:val="single" w:color="auto" w:sz="8" w:space="0"/>
      </w:pBdr>
      <w:adjustRightInd/>
      <w:snapToGrid/>
      <w:spacing w:before="100" w:beforeAutospacing="1" w:after="100" w:afterAutospacing="1"/>
      <w:jc w:val="center"/>
      <w:textAlignment w:val="center"/>
    </w:pPr>
    <w:rPr>
      <w:rFonts w:ascii="仿宋" w:hAnsi="仿宋" w:eastAsia="仿宋" w:cs="宋体"/>
      <w:sz w:val="24"/>
      <w:szCs w:val="24"/>
    </w:rPr>
  </w:style>
  <w:style w:type="paragraph" w:customStyle="1" w:styleId="34">
    <w:name w:val="xl83"/>
    <w:basedOn w:val="1"/>
    <w:qFormat/>
    <w:uiPriority w:val="0"/>
    <w:pPr>
      <w:pBdr>
        <w:top w:val="single" w:color="auto" w:sz="8" w:space="0"/>
        <w:bottom w:val="single" w:color="auto" w:sz="8" w:space="0"/>
        <w:right w:val="single" w:color="auto" w:sz="8" w:space="0"/>
      </w:pBdr>
      <w:adjustRightInd/>
      <w:snapToGrid/>
      <w:spacing w:before="100" w:beforeAutospacing="1" w:after="100" w:afterAutospacing="1"/>
      <w:textAlignment w:val="center"/>
    </w:pPr>
    <w:rPr>
      <w:rFonts w:ascii="仿宋" w:hAnsi="仿宋" w:eastAsia="仿宋"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F8AE4A-2AAB-4530-8442-2FB2249E94E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41</Pages>
  <Words>2613</Words>
  <Characters>14897</Characters>
  <Lines>124</Lines>
  <Paragraphs>34</Paragraphs>
  <TotalTime>3</TotalTime>
  <ScaleCrop>false</ScaleCrop>
  <LinksUpToDate>false</LinksUpToDate>
  <CharactersWithSpaces>17476</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2020-09-17T08:37:00Z</dcterms:created>
  <dc:creator>思曉</dc:creator>
  <cp:lastModifiedBy>塔尔</cp:lastModifiedBy>
  <cp:lastPrinted>2020-10-03T15:32:00Z</cp:lastPrinted>
  <dcterms:modified xsi:type="dcterms:W3CDTF">2020-10-12T12:33:05Z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